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河北三河国家农业科技园区管理委员会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河北三河国家农业科技园区管理委员会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辖区的总体规划和经济、社会发展规划，经批准后组织实施；编制辖区区域性城市发展规划、国土利用规划，经批准后组织实施；审批或审核辖区固定资产投资项目；负责辖区基础设施和公用设施的建设和管理；负责辖区财政管理，实施辖区内财政预算、决算、国有资产管理和财政监督工作；负责招商引资、进出口贸易和国内外经济技术合作工作；负责辖区环境保护和安全生产监督管理工作；负责辖区人力资源和社会保障工作；负责辖区教育、文化、人口和计划生育等社会事务管理工作；负责协调辖区内上级有关部门派驻机构的工作；负责三河市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4" w:hRule="atLeast"/>
          <w:jc w:val="center"/>
        </w:trPr>
        <w:tc>
          <w:tcPr>
            <w:tcW w:w="4443" w:type="dxa"/>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河北三河国家农业科技园区管理委员会</w:t>
            </w:r>
          </w:p>
        </w:tc>
        <w:tc>
          <w:tcPr>
            <w:tcW w:w="1134" w:type="dxa"/>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副处级</w:t>
            </w:r>
          </w:p>
        </w:tc>
        <w:tc>
          <w:tcPr>
            <w:tcW w:w="2902" w:type="dxa"/>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rPr>
          <w:rFonts w:ascii="仿宋_GB2312" w:eastAsia="仿宋_GB2312" w:cs="Times New Roman"/>
          <w:sz w:val="32"/>
          <w:szCs w:val="32"/>
        </w:rPr>
      </w:pPr>
      <w:r>
        <w:rPr>
          <w:rFonts w:ascii="仿宋_GB2312" w:eastAsia="仿宋_GB2312" w:cs="Times New Roman"/>
          <w:sz w:val="32"/>
          <w:szCs w:val="32"/>
        </w:rPr>
        <w:t>按照预算管理有关规定，目前我市</w:t>
      </w:r>
      <w:r>
        <w:rPr>
          <w:rFonts w:hint="eastAsia" w:ascii="仿宋_GB2312" w:eastAsia="仿宋_GB2312" w:cs="Times New Roman"/>
          <w:sz w:val="32"/>
          <w:szCs w:val="32"/>
          <w:lang w:eastAsia="zh-CN"/>
        </w:rPr>
        <w:t>单位</w:t>
      </w:r>
      <w:r>
        <w:rPr>
          <w:rFonts w:ascii="仿宋_GB2312" w:eastAsia="仿宋_GB2312" w:cs="Times New Roman"/>
          <w:sz w:val="32"/>
          <w:szCs w:val="32"/>
        </w:rPr>
        <w:t>预算的编制实行综合预算制度，即全部收入和支出都反映在预算中。</w:t>
      </w:r>
      <w:r>
        <w:rPr>
          <w:rFonts w:hint="eastAsia" w:ascii="仿宋_GB2312" w:eastAsia="仿宋_GB2312" w:cs="Times New Roman"/>
          <w:sz w:val="32"/>
          <w:szCs w:val="32"/>
          <w:lang w:val="en-US" w:eastAsia="zh-CN"/>
        </w:rPr>
        <w:t>河北三河国家农业科技园区管理委员会</w:t>
      </w:r>
      <w:r>
        <w:rPr>
          <w:rFonts w:ascii="仿宋_GB2312" w:eastAsia="仿宋_GB2312" w:cs="Times New Roman"/>
          <w:sz w:val="32"/>
          <w:szCs w:val="32"/>
        </w:rPr>
        <w:t>的收支包含在</w:t>
      </w:r>
      <w:r>
        <w:rPr>
          <w:rFonts w:hint="eastAsia" w:ascii="仿宋_GB2312" w:eastAsia="仿宋_GB2312" w:cs="Times New Roman"/>
          <w:sz w:val="32"/>
          <w:szCs w:val="32"/>
          <w:lang w:eastAsia="zh-CN"/>
        </w:rPr>
        <w:t>单位</w:t>
      </w:r>
      <w:r>
        <w:rPr>
          <w:rFonts w:ascii="仿宋_GB2312"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b/>
          <w:sz w:val="32"/>
          <w:szCs w:val="32"/>
        </w:rPr>
      </w:pPr>
      <w:r>
        <w:rPr>
          <w:rFonts w:ascii="仿宋_GB2312" w:eastAsia="仿宋_GB2312" w:cs="Times New Roman"/>
          <w:sz w:val="32"/>
          <w:szCs w:val="32"/>
        </w:rPr>
        <w:t>反映本</w:t>
      </w:r>
      <w:r>
        <w:rPr>
          <w:rFonts w:hint="eastAsia" w:ascii="仿宋_GB2312" w:eastAsia="仿宋_GB2312" w:cs="Times New Roman"/>
          <w:sz w:val="32"/>
          <w:szCs w:val="32"/>
          <w:lang w:eastAsia="zh-CN"/>
        </w:rPr>
        <w:t>单位</w:t>
      </w:r>
      <w:r>
        <w:rPr>
          <w:rFonts w:ascii="仿宋_GB2312" w:eastAsia="仿宋_GB2312" w:cs="Times New Roman"/>
          <w:sz w:val="32"/>
          <w:szCs w:val="32"/>
        </w:rPr>
        <w:t>当年全部收入。20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3</w:t>
      </w:r>
      <w:r>
        <w:rPr>
          <w:rFonts w:ascii="仿宋_GB2312" w:eastAsia="仿宋_GB2312" w:cs="Times New Roman"/>
          <w:sz w:val="32"/>
          <w:szCs w:val="32"/>
        </w:rPr>
        <w:t>年预算收入</w:t>
      </w:r>
      <w:r>
        <w:rPr>
          <w:rFonts w:hint="eastAsia" w:ascii="仿宋_GB2312" w:eastAsia="仿宋_GB2312" w:cs="Times New Roman"/>
          <w:sz w:val="32"/>
          <w:szCs w:val="32"/>
          <w:lang w:val="en-US" w:eastAsia="zh-CN"/>
        </w:rPr>
        <w:t>2631.49</w:t>
      </w:r>
      <w:r>
        <w:rPr>
          <w:rFonts w:ascii="仿宋_GB2312" w:eastAsia="仿宋_GB2312" w:cs="Times New Roman"/>
          <w:sz w:val="32"/>
          <w:szCs w:val="32"/>
        </w:rPr>
        <w:t>万元，其中：一般公共预算收入</w:t>
      </w:r>
      <w:r>
        <w:rPr>
          <w:rFonts w:hint="eastAsia" w:ascii="仿宋_GB2312" w:eastAsia="仿宋_GB2312" w:cs="Times New Roman"/>
          <w:sz w:val="32"/>
          <w:szCs w:val="32"/>
          <w:lang w:val="en-US" w:eastAsia="zh-CN"/>
        </w:rPr>
        <w:t>2551.49</w:t>
      </w:r>
      <w:r>
        <w:rPr>
          <w:rFonts w:ascii="仿宋_GB2312" w:eastAsia="仿宋_GB2312" w:cs="Times New Roman"/>
          <w:sz w:val="32"/>
          <w:szCs w:val="32"/>
        </w:rPr>
        <w:t>万元，基金预算收入</w:t>
      </w:r>
      <w:r>
        <w:rPr>
          <w:rFonts w:hint="eastAsia" w:ascii="仿宋_GB2312" w:eastAsia="仿宋_GB2312" w:cs="Times New Roman"/>
          <w:sz w:val="32"/>
          <w:szCs w:val="32"/>
          <w:lang w:val="en-US" w:eastAsia="zh-CN"/>
        </w:rPr>
        <w:t>80</w:t>
      </w:r>
      <w:r>
        <w:rPr>
          <w:rFonts w:ascii="仿宋_GB2312" w:eastAsia="仿宋_GB2312" w:cs="Times New Roman"/>
          <w:sz w:val="32"/>
          <w:szCs w:val="32"/>
        </w:rPr>
        <w:t>万元，财政专户核拨收入</w:t>
      </w:r>
      <w:r>
        <w:rPr>
          <w:rFonts w:hint="eastAsia" w:ascii="仿宋_GB2312" w:eastAsia="仿宋_GB2312" w:cs="Times New Roman"/>
          <w:sz w:val="32"/>
          <w:szCs w:val="32"/>
          <w:lang w:val="en-US" w:eastAsia="zh-CN"/>
        </w:rPr>
        <w:t>0</w:t>
      </w:r>
      <w:r>
        <w:rPr>
          <w:rFonts w:ascii="仿宋_GB2312" w:eastAsia="仿宋_GB2312" w:cs="Times New Roman"/>
          <w:sz w:val="32"/>
          <w:szCs w:val="32"/>
        </w:rPr>
        <w:t>万元，其他来源收入</w:t>
      </w:r>
      <w:r>
        <w:rPr>
          <w:rFonts w:hint="eastAsia" w:ascii="仿宋_GB2312" w:eastAsia="仿宋_GB2312" w:cs="Times New Roman"/>
          <w:sz w:val="32"/>
          <w:szCs w:val="32"/>
          <w:lang w:val="en-US" w:eastAsia="zh-CN"/>
        </w:rPr>
        <w:t>0</w:t>
      </w:r>
      <w:r>
        <w:rPr>
          <w:rFonts w:ascii="仿宋_GB2312" w:eastAsia="仿宋_GB2312" w:cs="Times New Roman"/>
          <w:sz w:val="32"/>
          <w:szCs w:val="32"/>
        </w:rPr>
        <w:t>万元</w:t>
      </w:r>
      <w:r>
        <w:rPr>
          <w:rFonts w:hint="eastAsia" w:ascii="仿宋_GB2312" w:eastAsia="仿宋_GB2312" w:cs="Times New Roman"/>
          <w:sz w:val="32"/>
          <w:szCs w:val="32"/>
        </w:rPr>
        <w:t>，</w:t>
      </w:r>
      <w:r>
        <w:rPr>
          <w:rFonts w:ascii="仿宋_GB2312" w:eastAsia="仿宋_GB2312" w:cs="Times New Roman"/>
          <w:sz w:val="32"/>
          <w:szCs w:val="32"/>
        </w:rPr>
        <w:t>上年结转</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rPr>
        <w:t>万元</w:t>
      </w:r>
      <w:r>
        <w:rPr>
          <w:rFonts w:ascii="仿宋_GB2312"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收支预算总表支出栏、基本支出表、项目支出表按经济分类和支出功能分类科目编制，反映</w:t>
      </w:r>
      <w:r>
        <w:rPr>
          <w:rFonts w:hint="eastAsia" w:ascii="仿宋_GB2312" w:eastAsia="仿宋_GB2312" w:cs="Times New Roman"/>
          <w:sz w:val="32"/>
          <w:szCs w:val="32"/>
          <w:lang w:val="en-US" w:eastAsia="zh-CN"/>
        </w:rPr>
        <w:t>河北三河国家农业科技园区管理委员会</w:t>
      </w:r>
      <w:r>
        <w:rPr>
          <w:rFonts w:ascii="仿宋_GB2312" w:eastAsia="仿宋_GB2312" w:cs="Times New Roman"/>
          <w:sz w:val="32"/>
          <w:szCs w:val="32"/>
        </w:rPr>
        <w:t>年度</w:t>
      </w:r>
      <w:r>
        <w:rPr>
          <w:rFonts w:hint="eastAsia" w:ascii="仿宋_GB2312" w:eastAsia="仿宋_GB2312" w:cs="Times New Roman"/>
          <w:sz w:val="32"/>
          <w:szCs w:val="32"/>
          <w:lang w:eastAsia="zh-CN"/>
        </w:rPr>
        <w:t>单位</w:t>
      </w:r>
      <w:r>
        <w:rPr>
          <w:rFonts w:ascii="仿宋_GB2312" w:eastAsia="仿宋_GB2312" w:cs="Times New Roman"/>
          <w:sz w:val="32"/>
          <w:szCs w:val="32"/>
        </w:rPr>
        <w:t>预算中支出预算的总体情况。20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3</w:t>
      </w:r>
      <w:r>
        <w:rPr>
          <w:rFonts w:ascii="仿宋_GB2312" w:eastAsia="仿宋_GB2312" w:cs="Times New Roman"/>
          <w:sz w:val="32"/>
          <w:szCs w:val="32"/>
        </w:rPr>
        <w:t>年支出预算</w:t>
      </w:r>
      <w:r>
        <w:rPr>
          <w:rFonts w:hint="eastAsia" w:ascii="仿宋_GB2312" w:eastAsia="仿宋_GB2312" w:cs="Times New Roman"/>
          <w:sz w:val="32"/>
          <w:szCs w:val="32"/>
          <w:lang w:val="en-US" w:eastAsia="zh-CN"/>
        </w:rPr>
        <w:t>2631.49</w:t>
      </w:r>
      <w:r>
        <w:rPr>
          <w:rFonts w:ascii="仿宋_GB2312" w:eastAsia="仿宋_GB2312" w:cs="Times New Roman"/>
          <w:sz w:val="32"/>
          <w:szCs w:val="32"/>
        </w:rPr>
        <w:t>万元，其中基本支出</w:t>
      </w:r>
      <w:r>
        <w:rPr>
          <w:rFonts w:hint="eastAsia" w:ascii="仿宋_GB2312" w:eastAsia="仿宋_GB2312" w:cs="Times New Roman"/>
          <w:sz w:val="32"/>
          <w:szCs w:val="32"/>
          <w:lang w:val="en-US" w:eastAsia="zh-CN"/>
        </w:rPr>
        <w:t>690.12</w:t>
      </w:r>
      <w:r>
        <w:rPr>
          <w:rFonts w:ascii="仿宋_GB2312" w:eastAsia="仿宋_GB2312" w:cs="Times New Roman"/>
          <w:sz w:val="32"/>
          <w:szCs w:val="32"/>
        </w:rPr>
        <w:t>万元，包括人员类项目经费</w:t>
      </w:r>
      <w:r>
        <w:rPr>
          <w:rFonts w:hint="eastAsia" w:ascii="仿宋_GB2312" w:eastAsia="仿宋_GB2312" w:cs="Times New Roman"/>
          <w:sz w:val="32"/>
          <w:szCs w:val="32"/>
          <w:lang w:val="en-US" w:eastAsia="zh-CN"/>
        </w:rPr>
        <w:t>583.81</w:t>
      </w:r>
      <w:r>
        <w:rPr>
          <w:rFonts w:ascii="仿宋_GB2312" w:eastAsia="仿宋_GB2312" w:cs="Times New Roman"/>
          <w:sz w:val="32"/>
          <w:szCs w:val="32"/>
        </w:rPr>
        <w:t>万元和</w:t>
      </w:r>
      <w:r>
        <w:rPr>
          <w:rFonts w:hint="eastAsia" w:ascii="仿宋_GB2312" w:eastAsia="仿宋_GB2312" w:cs="Times New Roman"/>
          <w:sz w:val="32"/>
          <w:szCs w:val="32"/>
        </w:rPr>
        <w:t>运转类</w:t>
      </w:r>
      <w:r>
        <w:rPr>
          <w:rFonts w:ascii="仿宋_GB2312" w:eastAsia="仿宋_GB2312" w:cs="Times New Roman"/>
          <w:sz w:val="32"/>
          <w:szCs w:val="32"/>
        </w:rPr>
        <w:t>公用项目经费</w:t>
      </w:r>
      <w:r>
        <w:rPr>
          <w:rFonts w:hint="eastAsia" w:ascii="仿宋_GB2312" w:eastAsia="仿宋_GB2312" w:cs="Times New Roman"/>
          <w:sz w:val="32"/>
          <w:szCs w:val="32"/>
          <w:lang w:val="en-US" w:eastAsia="zh-CN"/>
        </w:rPr>
        <w:t>106.31</w:t>
      </w:r>
      <w:r>
        <w:rPr>
          <w:rFonts w:ascii="仿宋_GB2312" w:eastAsia="仿宋_GB2312" w:cs="Times New Roman"/>
          <w:sz w:val="32"/>
          <w:szCs w:val="32"/>
        </w:rPr>
        <w:t>万元；运转类其他及特定目标类项目支出</w:t>
      </w:r>
      <w:r>
        <w:rPr>
          <w:rFonts w:hint="eastAsia" w:ascii="仿宋_GB2312" w:eastAsia="仿宋_GB2312" w:cs="Times New Roman"/>
          <w:sz w:val="32"/>
          <w:szCs w:val="32"/>
          <w:lang w:val="en-US" w:eastAsia="zh-CN"/>
        </w:rPr>
        <w:t>1941.37</w:t>
      </w:r>
      <w:r>
        <w:rPr>
          <w:rFonts w:ascii="仿宋_GB2312" w:eastAsia="仿宋_GB2312" w:cs="Times New Roman"/>
          <w:sz w:val="32"/>
          <w:szCs w:val="32"/>
        </w:rPr>
        <w:t>万元，</w:t>
      </w:r>
      <w:r>
        <w:rPr>
          <w:rFonts w:hint="eastAsia" w:ascii="仿宋_GB2312" w:eastAsia="仿宋_GB2312" w:cs="Times New Roman"/>
          <w:sz w:val="32"/>
          <w:szCs w:val="32"/>
          <w:lang w:val="en-US" w:eastAsia="zh-CN"/>
        </w:rPr>
        <w:t>为</w:t>
      </w:r>
      <w:r>
        <w:rPr>
          <w:rFonts w:ascii="仿宋_GB2312" w:eastAsia="仿宋_GB2312" w:cs="Times New Roman"/>
          <w:sz w:val="32"/>
          <w:szCs w:val="32"/>
        </w:rPr>
        <w:t>本级支出，主要为</w:t>
      </w:r>
      <w:r>
        <w:rPr>
          <w:rFonts w:hint="eastAsia" w:ascii="仿宋_GB2312" w:eastAsia="仿宋_GB2312" w:cs="Times New Roman"/>
          <w:sz w:val="32"/>
          <w:szCs w:val="32"/>
          <w:lang w:val="en-US" w:eastAsia="zh-CN"/>
        </w:rPr>
        <w:t>土地租金</w:t>
      </w:r>
      <w:r>
        <w:rPr>
          <w:rFonts w:ascii="仿宋_GB2312" w:eastAsia="仿宋_GB2312" w:cs="Times New Roman"/>
          <w:sz w:val="32"/>
          <w:szCs w:val="32"/>
        </w:rPr>
        <w:t>、</w:t>
      </w:r>
      <w:r>
        <w:rPr>
          <w:rFonts w:hint="eastAsia" w:ascii="仿宋_GB2312" w:eastAsia="仿宋_GB2312" w:cs="Times New Roman"/>
          <w:sz w:val="32"/>
          <w:szCs w:val="32"/>
          <w:lang w:val="en-US" w:eastAsia="zh-CN"/>
        </w:rPr>
        <w:t>棚室补贴</w:t>
      </w:r>
      <w:r>
        <w:rPr>
          <w:rFonts w:ascii="仿宋_GB2312" w:eastAsia="仿宋_GB2312" w:cs="Times New Roman"/>
          <w:sz w:val="32"/>
          <w:szCs w:val="32"/>
        </w:rPr>
        <w:t>、</w:t>
      </w:r>
      <w:r>
        <w:rPr>
          <w:rFonts w:hint="eastAsia" w:ascii="仿宋_GB2312" w:eastAsia="仿宋_GB2312" w:cs="Times New Roman"/>
          <w:sz w:val="32"/>
          <w:szCs w:val="32"/>
          <w:lang w:val="en-US" w:eastAsia="zh-CN"/>
        </w:rPr>
        <w:t>农业园区总体规划规划环评项目</w:t>
      </w:r>
      <w:r>
        <w:rPr>
          <w:rFonts w:ascii="仿宋_GB2312"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3</w:t>
      </w:r>
      <w:r>
        <w:rPr>
          <w:rFonts w:ascii="仿宋_GB2312" w:eastAsia="仿宋_GB2312" w:cs="Times New Roman"/>
          <w:sz w:val="32"/>
          <w:szCs w:val="32"/>
        </w:rPr>
        <w:t>年预算收支安排</w:t>
      </w:r>
      <w:r>
        <w:rPr>
          <w:rFonts w:hint="eastAsia" w:ascii="仿宋_GB2312" w:eastAsia="仿宋_GB2312" w:cs="Times New Roman"/>
          <w:sz w:val="32"/>
          <w:szCs w:val="32"/>
          <w:lang w:val="en-US" w:eastAsia="zh-CN"/>
        </w:rPr>
        <w:t>2631.49</w:t>
      </w:r>
      <w:r>
        <w:rPr>
          <w:rFonts w:ascii="仿宋_GB2312" w:eastAsia="仿宋_GB2312" w:cs="Times New Roman"/>
          <w:sz w:val="32"/>
          <w:szCs w:val="32"/>
        </w:rPr>
        <w:t>万元，较20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2</w:t>
      </w:r>
      <w:r>
        <w:rPr>
          <w:rFonts w:ascii="仿宋_GB2312" w:eastAsia="仿宋_GB2312" w:cs="Times New Roman"/>
          <w:sz w:val="32"/>
          <w:szCs w:val="32"/>
        </w:rPr>
        <w:t>年预算减少</w:t>
      </w:r>
      <w:r>
        <w:rPr>
          <w:rFonts w:hint="eastAsia" w:ascii="仿宋_GB2312" w:eastAsia="仿宋_GB2312" w:cs="Times New Roman"/>
          <w:sz w:val="32"/>
          <w:szCs w:val="32"/>
          <w:lang w:val="en-US" w:eastAsia="zh-CN"/>
        </w:rPr>
        <w:t>371.18</w:t>
      </w:r>
      <w:r>
        <w:rPr>
          <w:rFonts w:ascii="仿宋_GB2312" w:eastAsia="仿宋_GB2312" w:cs="Times New Roman"/>
          <w:sz w:val="32"/>
          <w:szCs w:val="32"/>
        </w:rPr>
        <w:t>万元，其中：基本支出</w:t>
      </w:r>
      <w:r>
        <w:rPr>
          <w:rFonts w:hint="eastAsia" w:ascii="仿宋_GB2312" w:eastAsia="仿宋_GB2312" w:cs="Times New Roman"/>
          <w:sz w:val="32"/>
          <w:szCs w:val="32"/>
          <w:lang w:val="en-US" w:eastAsia="zh-CN"/>
        </w:rPr>
        <w:t>增加116.06</w:t>
      </w:r>
      <w:r>
        <w:rPr>
          <w:rFonts w:ascii="仿宋_GB2312" w:eastAsia="仿宋_GB2312" w:cs="Times New Roman"/>
          <w:sz w:val="32"/>
          <w:szCs w:val="32"/>
        </w:rPr>
        <w:t>万元，主要为</w:t>
      </w:r>
      <w:r>
        <w:rPr>
          <w:rFonts w:hint="eastAsia" w:ascii="仿宋_GB2312" w:eastAsia="仿宋_GB2312" w:cs="Times New Roman"/>
          <w:sz w:val="32"/>
          <w:szCs w:val="32"/>
          <w:lang w:val="en-US" w:eastAsia="zh-CN"/>
        </w:rPr>
        <w:t>人员类</w:t>
      </w:r>
      <w:r>
        <w:rPr>
          <w:rFonts w:ascii="仿宋_GB2312" w:eastAsia="仿宋_GB2312" w:cs="Times New Roman"/>
          <w:sz w:val="32"/>
          <w:szCs w:val="32"/>
        </w:rPr>
        <w:t>支出</w:t>
      </w:r>
      <w:r>
        <w:rPr>
          <w:rFonts w:hint="eastAsia" w:ascii="仿宋_GB2312" w:eastAsia="仿宋_GB2312" w:cs="Times New Roman"/>
          <w:sz w:val="32"/>
          <w:szCs w:val="32"/>
          <w:lang w:val="en-US" w:eastAsia="zh-CN"/>
        </w:rPr>
        <w:t>增加，新增公务员6名</w:t>
      </w:r>
      <w:r>
        <w:rPr>
          <w:rFonts w:ascii="仿宋_GB2312" w:eastAsia="仿宋_GB2312" w:cs="Times New Roman"/>
          <w:sz w:val="32"/>
          <w:szCs w:val="32"/>
        </w:rPr>
        <w:t>；项目支出减少</w:t>
      </w:r>
      <w:r>
        <w:rPr>
          <w:rFonts w:hint="eastAsia" w:ascii="仿宋_GB2312" w:eastAsia="仿宋_GB2312" w:cs="Times New Roman"/>
          <w:sz w:val="32"/>
          <w:szCs w:val="32"/>
          <w:lang w:val="en-US" w:eastAsia="zh-CN"/>
        </w:rPr>
        <w:t>487.24</w:t>
      </w:r>
      <w:r>
        <w:rPr>
          <w:rFonts w:ascii="仿宋_GB2312" w:eastAsia="仿宋_GB2312" w:cs="Times New Roman"/>
          <w:sz w:val="32"/>
          <w:szCs w:val="32"/>
        </w:rPr>
        <w:t>万元，主要为特定目标类</w:t>
      </w:r>
      <w:r>
        <w:rPr>
          <w:rFonts w:hint="eastAsia" w:ascii="仿宋_GB2312" w:eastAsia="仿宋_GB2312" w:cs="Times New Roman"/>
          <w:sz w:val="32"/>
          <w:szCs w:val="32"/>
          <w:lang w:val="en-US" w:eastAsia="zh-CN"/>
        </w:rPr>
        <w:t>工程款</w:t>
      </w:r>
      <w:r>
        <w:rPr>
          <w:rFonts w:ascii="仿宋_GB2312" w:eastAsia="仿宋_GB2312" w:cs="Times New Roman"/>
          <w:sz w:val="32"/>
          <w:szCs w:val="32"/>
        </w:rPr>
        <w:t>支出</w:t>
      </w:r>
      <w:r>
        <w:rPr>
          <w:rFonts w:hint="eastAsia" w:ascii="仿宋_GB2312" w:eastAsia="仿宋_GB2312" w:cs="Times New Roman"/>
          <w:sz w:val="32"/>
          <w:szCs w:val="32"/>
          <w:lang w:val="en-US" w:eastAsia="zh-CN"/>
        </w:rPr>
        <w:t>减少</w:t>
      </w:r>
      <w:r>
        <w:rPr>
          <w:rFonts w:ascii="仿宋_GB2312"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3</w:t>
      </w:r>
      <w:r>
        <w:rPr>
          <w:rFonts w:ascii="仿宋_GB2312" w:eastAsia="仿宋_GB2312" w:cs="Times New Roman"/>
          <w:sz w:val="32"/>
          <w:szCs w:val="32"/>
        </w:rPr>
        <w:t>年，我</w:t>
      </w:r>
      <w:r>
        <w:rPr>
          <w:rFonts w:hint="eastAsia" w:ascii="仿宋_GB2312" w:eastAsia="仿宋_GB2312" w:cs="Times New Roman"/>
          <w:sz w:val="32"/>
          <w:szCs w:val="32"/>
          <w:lang w:val="en-US" w:eastAsia="zh-CN"/>
        </w:rPr>
        <w:t>单位</w:t>
      </w:r>
      <w:r>
        <w:rPr>
          <w:rFonts w:ascii="仿宋_GB2312" w:eastAsia="仿宋_GB2312" w:cs="Times New Roman"/>
          <w:sz w:val="32"/>
          <w:szCs w:val="32"/>
        </w:rPr>
        <w:t>运行经费共计安排</w:t>
      </w:r>
      <w:r>
        <w:rPr>
          <w:rFonts w:hint="eastAsia" w:ascii="仿宋_GB2312" w:eastAsia="仿宋_GB2312" w:cs="Times New Roman"/>
          <w:sz w:val="32"/>
          <w:szCs w:val="32"/>
          <w:lang w:val="en-US" w:eastAsia="zh-CN"/>
        </w:rPr>
        <w:t>106.31</w:t>
      </w:r>
      <w:r>
        <w:rPr>
          <w:rFonts w:ascii="仿宋_GB2312" w:eastAsia="仿宋_GB2312" w:cs="Times New Roman"/>
          <w:sz w:val="32"/>
          <w:szCs w:val="32"/>
        </w:rPr>
        <w:t>万元，主要用于</w:t>
      </w:r>
      <w:r>
        <w:rPr>
          <w:rFonts w:hint="eastAsia" w:ascii="仿宋_GB2312" w:eastAsia="仿宋_GB2312" w:cs="Times New Roman"/>
          <w:sz w:val="32"/>
          <w:szCs w:val="32"/>
          <w:lang w:val="en-US" w:eastAsia="zh-CN"/>
        </w:rPr>
        <w:t>河北三河国家农业科技园区管理委员会</w:t>
      </w:r>
      <w:r>
        <w:rPr>
          <w:rFonts w:ascii="仿宋_GB2312" w:eastAsia="仿宋_GB2312" w:cs="Times New Roman"/>
          <w:sz w:val="32"/>
          <w:szCs w:val="32"/>
        </w:rPr>
        <w:t>办公区的日常</w:t>
      </w:r>
      <w:r>
        <w:rPr>
          <w:rFonts w:hint="eastAsia" w:ascii="仿宋_GB2312" w:eastAsia="仿宋_GB2312" w:cs="Times New Roman"/>
          <w:sz w:val="32"/>
          <w:szCs w:val="32"/>
          <w:lang w:val="en-US" w:eastAsia="zh-CN"/>
        </w:rPr>
        <w:t>办公、</w:t>
      </w:r>
      <w:r>
        <w:rPr>
          <w:rFonts w:ascii="仿宋_GB2312" w:eastAsia="仿宋_GB2312" w:cs="Times New Roman"/>
          <w:sz w:val="32"/>
          <w:szCs w:val="32"/>
        </w:rPr>
        <w:t>维修、水电费、取暖费</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邮电</w:t>
      </w:r>
      <w:r>
        <w:rPr>
          <w:rFonts w:ascii="仿宋_GB2312" w:eastAsia="仿宋_GB2312" w:cs="Times New Roman"/>
          <w:sz w:val="32"/>
          <w:szCs w:val="32"/>
        </w:rPr>
        <w:t>等日常运行支出。</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3</w:t>
      </w:r>
      <w:r>
        <w:rPr>
          <w:rFonts w:ascii="仿宋_GB2312" w:eastAsia="仿宋_GB2312" w:cs="Times New Roman"/>
          <w:sz w:val="32"/>
          <w:szCs w:val="32"/>
        </w:rPr>
        <w:t>年，我</w:t>
      </w:r>
      <w:r>
        <w:rPr>
          <w:rFonts w:hint="eastAsia" w:ascii="仿宋_GB2312" w:eastAsia="仿宋_GB2312" w:cs="Times New Roman"/>
          <w:sz w:val="32"/>
          <w:szCs w:val="32"/>
          <w:lang w:val="en-US" w:eastAsia="zh-CN"/>
        </w:rPr>
        <w:t>单位</w:t>
      </w:r>
      <w:r>
        <w:rPr>
          <w:rFonts w:ascii="仿宋_GB2312" w:eastAsia="仿宋_GB2312" w:cs="Times New Roman"/>
          <w:sz w:val="32"/>
          <w:szCs w:val="32"/>
        </w:rPr>
        <w:t>财政拨款“三公”经费预算安排</w:t>
      </w:r>
      <w:r>
        <w:rPr>
          <w:rFonts w:hint="eastAsia" w:ascii="仿宋_GB2312" w:eastAsia="仿宋_GB2312" w:cs="Times New Roman"/>
          <w:sz w:val="32"/>
          <w:szCs w:val="32"/>
          <w:lang w:val="en-US" w:eastAsia="zh-CN"/>
        </w:rPr>
        <w:t>9.84</w:t>
      </w:r>
      <w:r>
        <w:rPr>
          <w:rFonts w:ascii="仿宋_GB2312" w:eastAsia="仿宋_GB2312" w:cs="Times New Roman"/>
          <w:sz w:val="32"/>
          <w:szCs w:val="32"/>
        </w:rPr>
        <w:t>万元</w:t>
      </w:r>
      <w:r>
        <w:rPr>
          <w:rFonts w:hint="eastAsia" w:ascii="仿宋_GB2312" w:eastAsia="仿宋_GB2312" w:cs="Times New Roman"/>
          <w:sz w:val="32"/>
          <w:szCs w:val="32"/>
        </w:rPr>
        <w:t>。</w:t>
      </w:r>
      <w:r>
        <w:rPr>
          <w:rFonts w:ascii="仿宋_GB2312" w:eastAsia="仿宋_GB2312" w:cs="Times New Roman"/>
          <w:sz w:val="32"/>
          <w:szCs w:val="32"/>
        </w:rPr>
        <w:t>其中</w:t>
      </w:r>
      <w:r>
        <w:rPr>
          <w:rFonts w:hint="eastAsia" w:ascii="仿宋_GB2312" w:eastAsia="仿宋_GB2312" w:cs="Times New Roman"/>
          <w:sz w:val="32"/>
          <w:szCs w:val="32"/>
        </w:rPr>
        <w:t>，</w:t>
      </w:r>
      <w:r>
        <w:rPr>
          <w:rFonts w:ascii="仿宋_GB2312" w:eastAsia="仿宋_GB2312" w:cs="Times New Roman"/>
          <w:sz w:val="32"/>
          <w:szCs w:val="32"/>
        </w:rPr>
        <w:t>因公出国（境）费</w:t>
      </w:r>
      <w:r>
        <w:rPr>
          <w:rFonts w:hint="eastAsia" w:ascii="仿宋_GB2312" w:eastAsia="仿宋_GB2312" w:cs="Times New Roman"/>
          <w:sz w:val="32"/>
          <w:szCs w:val="32"/>
          <w:lang w:val="en-US" w:eastAsia="zh-CN"/>
        </w:rPr>
        <w:t>0</w:t>
      </w:r>
      <w:r>
        <w:rPr>
          <w:rFonts w:ascii="仿宋_GB2312" w:eastAsia="仿宋_GB2312" w:cs="Times New Roman"/>
          <w:sz w:val="32"/>
          <w:szCs w:val="32"/>
        </w:rPr>
        <w:t>万元；公务用车购置及运维费</w:t>
      </w:r>
      <w:r>
        <w:rPr>
          <w:rFonts w:hint="eastAsia" w:ascii="仿宋_GB2312" w:eastAsia="仿宋_GB2312" w:cs="Times New Roman"/>
          <w:sz w:val="32"/>
          <w:szCs w:val="32"/>
          <w:lang w:val="en-US" w:eastAsia="zh-CN"/>
        </w:rPr>
        <w:t>9.84</w:t>
      </w:r>
      <w:r>
        <w:rPr>
          <w:rFonts w:ascii="仿宋_GB2312" w:eastAsia="仿宋_GB2312" w:cs="Times New Roman"/>
          <w:sz w:val="32"/>
          <w:szCs w:val="32"/>
        </w:rPr>
        <w:t>万元（其中：公务用车购置费为</w:t>
      </w:r>
      <w:r>
        <w:rPr>
          <w:rFonts w:hint="eastAsia" w:ascii="仿宋_GB2312" w:eastAsia="仿宋_GB2312" w:cs="Times New Roman"/>
          <w:sz w:val="32"/>
          <w:szCs w:val="32"/>
          <w:lang w:val="en-US" w:eastAsia="zh-CN"/>
        </w:rPr>
        <w:t>0</w:t>
      </w:r>
      <w:r>
        <w:rPr>
          <w:rFonts w:ascii="仿宋_GB2312" w:eastAsia="仿宋_GB2312" w:cs="Times New Roman"/>
          <w:sz w:val="32"/>
          <w:szCs w:val="32"/>
        </w:rPr>
        <w:t>万元，公务用车运维费</w:t>
      </w:r>
      <w:r>
        <w:rPr>
          <w:rFonts w:hint="eastAsia" w:ascii="仿宋_GB2312" w:eastAsia="仿宋_GB2312" w:cs="Times New Roman"/>
          <w:sz w:val="32"/>
          <w:szCs w:val="32"/>
          <w:lang w:val="en-US" w:eastAsia="zh-CN"/>
        </w:rPr>
        <w:t>9.84</w:t>
      </w:r>
      <w:r>
        <w:rPr>
          <w:rFonts w:ascii="仿宋_GB2312" w:eastAsia="仿宋_GB2312" w:cs="Times New Roman"/>
          <w:sz w:val="32"/>
          <w:szCs w:val="32"/>
        </w:rPr>
        <w:t>万元)；公务接待费</w:t>
      </w:r>
      <w:r>
        <w:rPr>
          <w:rFonts w:hint="eastAsia" w:ascii="仿宋_GB2312" w:eastAsia="仿宋_GB2312" w:cs="Times New Roman"/>
          <w:sz w:val="32"/>
          <w:szCs w:val="32"/>
          <w:lang w:val="en-US" w:eastAsia="zh-CN"/>
        </w:rPr>
        <w:t>0</w:t>
      </w:r>
      <w:r>
        <w:rPr>
          <w:rFonts w:ascii="仿宋_GB2312" w:eastAsia="仿宋_GB2312" w:cs="Times New Roman"/>
          <w:sz w:val="32"/>
          <w:szCs w:val="32"/>
        </w:rPr>
        <w:t>万元。与20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2</w:t>
      </w:r>
      <w:r>
        <w:rPr>
          <w:rFonts w:ascii="仿宋_GB2312" w:eastAsia="仿宋_GB2312" w:cs="Times New Roman"/>
          <w:sz w:val="32"/>
          <w:szCs w:val="32"/>
        </w:rPr>
        <w:t>年</w:t>
      </w:r>
      <w:r>
        <w:rPr>
          <w:rFonts w:hint="eastAsia" w:ascii="仿宋_GB2312" w:eastAsia="仿宋_GB2312" w:cs="Times New Roman"/>
          <w:sz w:val="32"/>
          <w:szCs w:val="32"/>
        </w:rPr>
        <w:t>相比</w:t>
      </w:r>
      <w:r>
        <w:rPr>
          <w:rFonts w:ascii="仿宋_GB2312" w:eastAsia="仿宋_GB2312" w:cs="Times New Roman"/>
          <w:sz w:val="32"/>
          <w:szCs w:val="32"/>
        </w:rPr>
        <w:t>持平，</w:t>
      </w:r>
      <w:r>
        <w:rPr>
          <w:rFonts w:hint="eastAsia" w:ascii="仿宋_GB2312"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2023年按照市政府年度工作部署，结合园区实际，下一步要继续在加快知名农业龙头企业引进，促进农村发展、农业增效、农民增收，打造现代农业产业示范基地上下功夫，确保圆满完成年度目标任务，继续推动现代农业产业园、农产品保供基地创建，加快基础设施项目建设，全力抓好招商引资和综合治理。</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（二）分项绩效目标</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农业园区将继续加快基础设施建设，投入水、电、路框架，为入驻企业提供基本保障。全力推进三河市精品高端优特产业园新增变压器配套设施工程、三河市精品高端优特产业园机井线缆配套工程、利都农业生态科技产业园东路工程、利都农业生态科技产业园南路工程、利都农业生态科技产业园道路改建工程，为企业正常生产创造条件。</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积极重点对接中粮集团、首农集团、华为智慧农业公司、于家务国际种业科技园区等相关单位，搞好招商引资活动。</w:t>
      </w:r>
    </w:p>
    <w:p>
      <w:pPr>
        <w:widowControl w:val="0"/>
        <w:wordWrap/>
        <w:adjustRightInd/>
        <w:snapToGrid/>
        <w:spacing w:line="360" w:lineRule="auto"/>
        <w:ind w:firstLine="643" w:firstLineChars="200"/>
        <w:textAlignment w:val="auto"/>
        <w:rPr>
          <w:rFonts w:hint="eastAsia" w:ascii="仿宋_GB2312" w:hAnsi="仿宋_GB2312" w:eastAsia="仿宋_GB2312" w:cs="仿宋_GB2312"/>
          <w:b/>
          <w:bCs/>
          <w:sz w:val="32"/>
          <w:lang w:eastAsia="zh-CN"/>
        </w:rPr>
      </w:pPr>
      <w:r>
        <w:rPr>
          <w:rFonts w:hint="eastAsia" w:ascii="仿宋_GB2312" w:hAnsi="仿宋_GB2312" w:eastAsia="仿宋_GB2312" w:cs="仿宋_GB2312"/>
          <w:b/>
          <w:bCs/>
          <w:sz w:val="32"/>
          <w:lang w:val="en-US" w:eastAsia="zh-CN"/>
        </w:rPr>
        <w:t>一、</w:t>
      </w:r>
      <w:r>
        <w:rPr>
          <w:rFonts w:hint="eastAsia" w:ascii="仿宋_GB2312" w:hAnsi="仿宋_GB2312" w:eastAsia="仿宋_GB2312" w:cs="仿宋_GB2312"/>
          <w:b/>
          <w:bCs/>
          <w:sz w:val="32"/>
          <w:lang w:eastAsia="zh-CN"/>
        </w:rPr>
        <w:t>规划建设</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绩效目标：</w:t>
      </w:r>
      <w:r>
        <w:rPr>
          <w:rFonts w:hint="eastAsia" w:ascii="仿宋_GB2312" w:eastAsia="仿宋_GB2312" w:cs="Times New Roman"/>
          <w:sz w:val="32"/>
          <w:szCs w:val="32"/>
          <w:lang w:val="en-US" w:eastAsia="zh-CN"/>
        </w:rPr>
        <w:t>建设基础设施，编制规划，保障安全生产。</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highlight w:val="none"/>
          <w:lang w:val="en-US" w:eastAsia="zh-CN"/>
        </w:rPr>
      </w:pPr>
      <w:r>
        <w:rPr>
          <w:rFonts w:hint="eastAsia" w:ascii="仿宋_GB2312" w:hAnsi="仿宋_GB2312" w:eastAsia="仿宋_GB2312" w:cs="仿宋_GB2312"/>
          <w:b/>
          <w:bCs/>
          <w:sz w:val="32"/>
          <w:lang w:eastAsia="zh-CN"/>
        </w:rPr>
        <w:t>绩效指标：</w:t>
      </w:r>
      <w:r>
        <w:rPr>
          <w:rFonts w:hint="eastAsia" w:ascii="仿宋_GB2312" w:eastAsia="仿宋_GB2312" w:cs="Times New Roman"/>
          <w:sz w:val="32"/>
          <w:szCs w:val="32"/>
          <w:highlight w:val="none"/>
          <w:lang w:val="en-US" w:eastAsia="zh-CN"/>
        </w:rPr>
        <w:t>工程质量合格率=100%、项目完工及时率≥90%、安全生产培训次数≥3次、参与企业满意度≥90%。</w:t>
      </w:r>
    </w:p>
    <w:p>
      <w:pPr>
        <w:widowControl w:val="0"/>
        <w:wordWrap/>
        <w:adjustRightInd/>
        <w:snapToGrid/>
        <w:spacing w:line="360" w:lineRule="auto"/>
        <w:ind w:firstLine="643" w:firstLineChars="200"/>
        <w:textAlignment w:val="auto"/>
        <w:rPr>
          <w:rFonts w:hint="eastAsia" w:ascii="仿宋_GB2312" w:hAnsi="仿宋_GB2312" w:eastAsia="仿宋_GB2312" w:cs="仿宋_GB2312"/>
          <w:b/>
          <w:bCs/>
          <w:sz w:val="32"/>
          <w:lang w:eastAsia="zh-CN"/>
        </w:rPr>
      </w:pPr>
      <w:r>
        <w:rPr>
          <w:rFonts w:hint="eastAsia" w:ascii="仿宋_GB2312" w:hAnsi="仿宋_GB2312" w:eastAsia="仿宋_GB2312" w:cs="仿宋_GB2312"/>
          <w:b/>
          <w:bCs/>
          <w:sz w:val="32"/>
          <w:lang w:val="en-US" w:eastAsia="zh-CN"/>
        </w:rPr>
        <w:t>二、</w:t>
      </w:r>
      <w:r>
        <w:rPr>
          <w:rFonts w:hint="eastAsia" w:ascii="仿宋_GB2312" w:hAnsi="仿宋_GB2312" w:eastAsia="仿宋_GB2312" w:cs="仿宋_GB2312"/>
          <w:b/>
          <w:bCs/>
          <w:sz w:val="32"/>
          <w:lang w:eastAsia="zh-CN"/>
        </w:rPr>
        <w:t>招商引资</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绩效目标：</w:t>
      </w:r>
      <w:r>
        <w:rPr>
          <w:rFonts w:hint="eastAsia" w:ascii="仿宋_GB2312" w:eastAsia="仿宋_GB2312" w:cs="Times New Roman"/>
          <w:sz w:val="32"/>
          <w:szCs w:val="32"/>
          <w:lang w:val="en-US" w:eastAsia="zh-CN"/>
        </w:rPr>
        <w:t>推动现代农业产业园、农产品保供基地创建。</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绩效指标：</w:t>
      </w:r>
      <w:r>
        <w:rPr>
          <w:rFonts w:hint="eastAsia" w:ascii="仿宋_GB2312" w:eastAsia="仿宋_GB2312" w:cs="Times New Roman"/>
          <w:sz w:val="32"/>
          <w:szCs w:val="32"/>
          <w:lang w:val="en-US" w:eastAsia="zh-CN"/>
        </w:rPr>
        <w:t>宣传品质量合格率=100%、招商工作完成及时率=100%、招商活动次数≥4次。</w:t>
      </w:r>
    </w:p>
    <w:p>
      <w:pPr>
        <w:widowControl w:val="0"/>
        <w:wordWrap/>
        <w:adjustRightInd/>
        <w:snapToGrid/>
        <w:spacing w:line="360" w:lineRule="auto"/>
        <w:ind w:firstLine="643" w:firstLineChars="200"/>
        <w:textAlignment w:val="auto"/>
        <w:rPr>
          <w:rFonts w:hint="eastAsia" w:ascii="仿宋_GB2312" w:hAnsi="仿宋_GB2312" w:eastAsia="仿宋_GB2312" w:cs="仿宋_GB2312"/>
          <w:b/>
          <w:bCs/>
          <w:sz w:val="32"/>
          <w:lang w:eastAsia="zh-CN"/>
        </w:rPr>
      </w:pPr>
      <w:r>
        <w:rPr>
          <w:rFonts w:hint="eastAsia" w:ascii="仿宋_GB2312" w:hAnsi="仿宋_GB2312" w:eastAsia="仿宋_GB2312" w:cs="仿宋_GB2312"/>
          <w:b/>
          <w:bCs/>
          <w:sz w:val="32"/>
          <w:lang w:val="en-US" w:eastAsia="zh-CN"/>
        </w:rPr>
        <w:t>三、</w:t>
      </w:r>
      <w:r>
        <w:rPr>
          <w:rFonts w:hint="eastAsia" w:ascii="仿宋_GB2312" w:hAnsi="仿宋_GB2312" w:eastAsia="仿宋_GB2312" w:cs="仿宋_GB2312"/>
          <w:b/>
          <w:bCs/>
          <w:sz w:val="32"/>
          <w:lang w:eastAsia="zh-CN"/>
        </w:rPr>
        <w:t>社会事务管理</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绩效目标：</w:t>
      </w:r>
      <w:r>
        <w:rPr>
          <w:rFonts w:hint="eastAsia" w:ascii="仿宋_GB2312" w:eastAsia="仿宋_GB2312" w:cs="Times New Roman"/>
          <w:sz w:val="32"/>
          <w:szCs w:val="32"/>
          <w:lang w:val="en-US" w:eastAsia="zh-CN"/>
        </w:rPr>
        <w:t>维护基础设施、绿化设施，维护园区稳定，按政策流转土地。</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绩效指标：</w:t>
      </w:r>
      <w:r>
        <w:rPr>
          <w:rFonts w:hint="eastAsia" w:ascii="仿宋_GB2312" w:eastAsia="仿宋_GB2312" w:cs="Times New Roman"/>
          <w:sz w:val="32"/>
          <w:szCs w:val="32"/>
          <w:lang w:val="en-US" w:eastAsia="zh-CN"/>
        </w:rPr>
        <w:t>设施保障使用率≥80%、绿化养护达标率≥80%、园区土地年度租赁费标准=1500元/亩、优化环境显著改善。</w:t>
      </w:r>
    </w:p>
    <w:p>
      <w:pPr>
        <w:widowControl w:val="0"/>
        <w:wordWrap/>
        <w:adjustRightInd/>
        <w:snapToGrid/>
        <w:spacing w:line="360" w:lineRule="auto"/>
        <w:ind w:firstLine="643" w:firstLineChars="200"/>
        <w:textAlignment w:val="auto"/>
        <w:rPr>
          <w:rFonts w:hint="eastAsia" w:ascii="仿宋_GB2312" w:hAnsi="仿宋_GB2312" w:eastAsia="仿宋_GB2312" w:cs="仿宋_GB2312"/>
          <w:b/>
          <w:bCs/>
          <w:sz w:val="32"/>
          <w:lang w:eastAsia="zh-CN"/>
        </w:rPr>
      </w:pPr>
      <w:r>
        <w:rPr>
          <w:rFonts w:hint="eastAsia" w:ascii="仿宋_GB2312" w:hAnsi="仿宋_GB2312" w:eastAsia="仿宋_GB2312" w:cs="仿宋_GB2312"/>
          <w:b/>
          <w:bCs/>
          <w:sz w:val="32"/>
          <w:lang w:val="en-US" w:eastAsia="zh-CN"/>
        </w:rPr>
        <w:t>四、</w:t>
      </w:r>
      <w:r>
        <w:rPr>
          <w:rFonts w:hint="eastAsia" w:ascii="仿宋_GB2312" w:hAnsi="仿宋_GB2312" w:eastAsia="仿宋_GB2312" w:cs="仿宋_GB2312"/>
          <w:b/>
          <w:bCs/>
          <w:sz w:val="32"/>
          <w:lang w:eastAsia="zh-CN"/>
        </w:rPr>
        <w:t>综合管理业务</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绩效目标：</w:t>
      </w:r>
      <w:r>
        <w:rPr>
          <w:rFonts w:hint="eastAsia" w:ascii="仿宋_GB2312" w:eastAsia="仿宋_GB2312" w:cs="Times New Roman"/>
          <w:sz w:val="32"/>
          <w:szCs w:val="32"/>
          <w:lang w:val="en-US" w:eastAsia="zh-CN"/>
        </w:rPr>
        <w:t>提升园区的办公及营商环境。</w:t>
      </w:r>
    </w:p>
    <w:p>
      <w:pPr>
        <w:widowControl w:val="0"/>
        <w:wordWrap/>
        <w:adjustRightInd/>
        <w:snapToGrid/>
        <w:spacing w:line="360" w:lineRule="auto"/>
        <w:ind w:firstLine="643" w:firstLineChars="200"/>
        <w:textAlignment w:val="auto"/>
        <w:rPr>
          <w:rFonts w:ascii="仿宋_GB2312" w:eastAsia="仿宋_GB2312" w:cs="Times New Roman"/>
          <w:sz w:val="32"/>
          <w:szCs w:val="32"/>
        </w:rPr>
      </w:pPr>
      <w:r>
        <w:rPr>
          <w:rFonts w:hint="eastAsia" w:ascii="仿宋_GB2312" w:hAnsi="仿宋_GB2312" w:eastAsia="仿宋_GB2312" w:cs="仿宋_GB2312"/>
          <w:b/>
          <w:bCs/>
          <w:sz w:val="32"/>
          <w:lang w:eastAsia="zh-CN"/>
        </w:rPr>
        <w:t>绩效指标：</w:t>
      </w:r>
      <w:r>
        <w:rPr>
          <w:rFonts w:hint="eastAsia" w:ascii="仿宋_GB2312" w:eastAsia="仿宋_GB2312" w:cs="Times New Roman"/>
          <w:sz w:val="32"/>
          <w:szCs w:val="32"/>
          <w:lang w:val="en-US" w:eastAsia="zh-CN"/>
        </w:rPr>
        <w:t>办公设施故障排除率≥80%、“保障日常办公需要，维持单位正常运转”显著提高、园区办公人员满意度≥90%。</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bCs/>
          <w:sz w:val="32"/>
          <w:lang w:val="en-US" w:eastAsia="zh-CN"/>
        </w:rPr>
        <w:t>1、加强与企业沟通合作，推进项目建设。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20"/>
          <w:rFonts w:hint="eastAsia" w:ascii="仿宋_GB2312" w:hAnsi="仿宋_GB2312" w:eastAsia="仿宋_GB2312" w:cs="仿宋_GB2312"/>
          <w:bCs/>
          <w:sz w:val="32"/>
          <w:szCs w:val="32"/>
          <w:lang w:val="en-US" w:eastAsia="zh-CN"/>
        </w:rPr>
      </w:pPr>
      <w:r>
        <w:rPr>
          <w:rStyle w:val="20"/>
          <w:rFonts w:hint="eastAsia" w:ascii="仿宋_GB2312" w:hAnsi="仿宋_GB2312" w:eastAsia="仿宋_GB2312" w:cs="仿宋_GB2312"/>
          <w:bCs/>
          <w:sz w:val="32"/>
          <w:szCs w:val="32"/>
          <w:lang w:val="en-US" w:eastAsia="zh-CN"/>
        </w:rPr>
        <w:t>强力推进三大项目落地落实，努力提升农业园区综合实力。一是首都央厨·北供食品冷链物流基地项目。二是万亩保供首都蔬菜产业园一期项目。三是国马产业一期项目。加大招商引资力度，持续为经济高质量发展增添活力。一是抢抓京津冀协同发展重大机遇，从与通州区一体化高质量发展中寻找机会，紧紧抓住承接北京非首都功能疏解这一“牛鼻子”，迈开两条腿，对接各部委。加强与农业农村部、乡村振兴局等部委的沟通联络，主动对接北京供销总社、首农集团等央企京企，通过以商招商等方式招引新项目、好项目，助力全市经济高质量发展。二是以华兴福等为代表培育农业产业化龙头企业，发展“同福模式”，充分发挥龙头带动作用，为全市乡村振兴新时代发展提供借鉴。三是依托华为智慧农业等企业合作构建现代农业产业体系，进一步提升农业的高端化、智能化、绿色化水平，引进华为智慧农业生产管理平台，实现生产全过程管理数字化，达到提高产量、改善品质、提高经济效益的目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Style w:val="20"/>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sz w:val="32"/>
          <w:lang w:val="en-US" w:eastAsia="zh-CN"/>
        </w:rPr>
        <w:t>2、进一步完善内控制度，加强内部监督。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20"/>
          <w:rFonts w:hint="default" w:ascii="仿宋_GB2312" w:hAnsi="仿宋_GB2312" w:eastAsia="仿宋_GB2312" w:cs="仿宋_GB2312"/>
          <w:bCs/>
          <w:sz w:val="32"/>
          <w:szCs w:val="32"/>
          <w:lang w:val="en-US" w:eastAsia="zh-CN"/>
        </w:rPr>
      </w:pPr>
      <w:r>
        <w:rPr>
          <w:rStyle w:val="20"/>
          <w:rFonts w:hint="default" w:ascii="仿宋_GB2312" w:hAnsi="仿宋_GB2312" w:eastAsia="仿宋_GB2312" w:cs="仿宋_GB2312"/>
          <w:bCs/>
          <w:sz w:val="32"/>
          <w:szCs w:val="32"/>
          <w:lang w:val="en-US" w:eastAsia="zh-CN"/>
        </w:rPr>
        <w:t>进一步建立健全单位内部控制制度，建立适合本单位实际情况的内部控制体系并组织，</w:t>
      </w:r>
      <w:r>
        <w:rPr>
          <w:rStyle w:val="20"/>
          <w:rFonts w:hint="eastAsia" w:ascii="仿宋_GB2312" w:hAnsi="仿宋_GB2312" w:eastAsia="仿宋_GB2312" w:cs="仿宋_GB2312"/>
          <w:bCs/>
          <w:sz w:val="32"/>
          <w:szCs w:val="32"/>
          <w:lang w:val="en-US" w:eastAsia="zh-CN"/>
        </w:rPr>
        <w:t>明确绩效管理责任，建立预算安排与绩效目标、资金使用效果挂钩的激励约束机制，</w:t>
      </w:r>
      <w:r>
        <w:rPr>
          <w:rStyle w:val="20"/>
          <w:rFonts w:hint="default" w:ascii="仿宋_GB2312" w:hAnsi="仿宋_GB2312" w:eastAsia="仿宋_GB2312" w:cs="仿宋_GB2312"/>
          <w:bCs/>
          <w:sz w:val="32"/>
          <w:szCs w:val="32"/>
          <w:lang w:val="en-US" w:eastAsia="zh-CN"/>
        </w:rPr>
        <w:t>强化内部监督。</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3、强化绩效应用，增强预算收支管理水平。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20"/>
          <w:rFonts w:hint="eastAsia" w:ascii="仿宋_GB2312" w:hAnsi="仿宋_GB2312" w:eastAsia="仿宋_GB2312" w:cs="仿宋_GB2312"/>
          <w:bCs/>
          <w:sz w:val="32"/>
          <w:szCs w:val="32"/>
          <w:lang w:val="en-US" w:eastAsia="zh-CN"/>
        </w:rPr>
      </w:pPr>
      <w:r>
        <w:rPr>
          <w:rStyle w:val="20"/>
          <w:rFonts w:hint="eastAsia" w:ascii="仿宋_GB2312" w:hAnsi="仿宋_GB2312" w:eastAsia="仿宋_GB2312" w:cs="仿宋_GB2312"/>
          <w:bCs/>
          <w:sz w:val="32"/>
          <w:szCs w:val="32"/>
          <w:lang w:val="en-US" w:eastAsia="zh-CN"/>
        </w:rPr>
        <w:t>以绩效目标为基础，以绩效运行跟踪监控和绩效评价为手段，以结果应用为保障，以改进预算管理、优化资源配置、控制节约成本为目标，建立管理科学、运转高效的全过程预算绩效管理体系。检验资金支出效率和效果，发现存在问题及原因，及时总结经验。分析资金使用过程中存在的问题及其原因，及时总结经验，改进管理措施，有效提高财政资金管理水平和使用效益。同时为以后年度财政资金投入提供参考依据。一是按照市财政局的工作部署，进一步加强与市财政预算编报、审核的衔接，强化内部预算支出管理、跟踪，按月对预算执行情况分析，切实加快预算执行进度。二是认真做好绩效目标的编制。进一步加强预算管理意识，严格按照绩效目标编制的相关制度和要求，绩效目标尽可能的全面、细化，进一步提高绩效目标设立的科学性。三是加强预算编制的前瞻性，严格按照新《预算法》及其实施条例的相关规定，根据本单位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及时消化以前年度结余，将财政存量资金与预算编制、执行等进行挂钩，进一步完善预算管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4、健全资产管理制度，加强固定资产管理。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20"/>
          <w:rFonts w:hint="eastAsia" w:ascii="仿宋_GB2312" w:hAnsi="仿宋_GB2312" w:eastAsia="仿宋_GB2312" w:cs="仿宋_GB2312"/>
          <w:bCs/>
          <w:sz w:val="32"/>
          <w:szCs w:val="32"/>
          <w:lang w:val="en-US" w:eastAsia="zh-CN"/>
        </w:rPr>
      </w:pPr>
      <w:r>
        <w:rPr>
          <w:rStyle w:val="20"/>
          <w:rFonts w:hint="eastAsia" w:ascii="仿宋_GB2312" w:hAnsi="仿宋_GB2312" w:eastAsia="仿宋_GB2312" w:cs="仿宋_GB2312"/>
          <w:bCs/>
          <w:sz w:val="32"/>
          <w:szCs w:val="32"/>
          <w:lang w:val="en-US" w:eastAsia="zh-CN"/>
        </w:rPr>
        <w:t>依据《固定资产管理办法》，进一步建立健全本单位的资产管理制度建设，并严格执行，加强固定资产的管理。对新购入或拨入的固定资产和无形资产及时入账并录入国有资产管理系统，明确资产管理责任人，并将资产管理与财务管理严格分开，及时登记、更新台账，加强资产卡片管理，同时对实物资产进行定期盘点工作，做到账实相符。</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5、规范绩效目标设定，加强绩效运行监控。</w:t>
      </w:r>
    </w:p>
    <w:p>
      <w:pPr>
        <w:keepNext w:val="0"/>
        <w:keepLines w:val="0"/>
        <w:pageBreakBefore w:val="0"/>
        <w:widowControl w:val="0"/>
        <w:kinsoku/>
        <w:wordWrap/>
        <w:overflowPunct/>
        <w:topLinePunct w:val="0"/>
        <w:autoSpaceDE/>
        <w:autoSpaceDN/>
        <w:bidi w:val="0"/>
        <w:adjustRightInd/>
        <w:snapToGrid/>
        <w:spacing w:line="360" w:lineRule="auto"/>
        <w:ind w:firstLine="620" w:firstLineChars="200"/>
        <w:textAlignment w:val="auto"/>
        <w:rPr>
          <w:rFonts w:ascii="仿宋_GB2312" w:eastAsia="仿宋_GB2312" w:cs="Times New Roman"/>
          <w:sz w:val="32"/>
          <w:szCs w:val="32"/>
        </w:rPr>
      </w:pPr>
      <w:r>
        <w:rPr>
          <w:rFonts w:hint="eastAsia" w:ascii="仿宋" w:hAnsi="仿宋" w:eastAsia="仿宋" w:cs="仿宋"/>
          <w:i w:val="0"/>
          <w:caps w:val="0"/>
          <w:color w:val="000000"/>
          <w:spacing w:val="0"/>
          <w:sz w:val="31"/>
          <w:szCs w:val="31"/>
          <w:shd w:val="clear" w:color="auto" w:fill="FFFFFF"/>
        </w:rPr>
        <w:t>一是合理规范编制绩效目标，强化其在预算绩效管理中的龙头地位。在科学决策、合理编制预算基础上</w:t>
      </w:r>
      <w:r>
        <w:rPr>
          <w:rFonts w:hint="eastAsia" w:ascii="仿宋" w:hAnsi="仿宋" w:eastAsia="仿宋" w:cs="仿宋"/>
          <w:i w:val="0"/>
          <w:caps w:val="0"/>
          <w:color w:val="000000"/>
          <w:spacing w:val="0"/>
          <w:sz w:val="31"/>
          <w:szCs w:val="31"/>
          <w:shd w:val="clear" w:color="auto" w:fill="FFFFFF"/>
          <w:lang w:eastAsia="zh-CN"/>
        </w:rPr>
        <w:t>，</w:t>
      </w:r>
      <w:r>
        <w:rPr>
          <w:rFonts w:hint="eastAsia" w:ascii="仿宋" w:hAnsi="仿宋" w:eastAsia="仿宋" w:cs="仿宋"/>
          <w:i w:val="0"/>
          <w:caps w:val="0"/>
          <w:color w:val="000000"/>
          <w:spacing w:val="0"/>
          <w:sz w:val="31"/>
          <w:szCs w:val="31"/>
          <w:shd w:val="clear" w:color="auto" w:fill="FFFFFF"/>
        </w:rPr>
        <w:t>明确专项实施期及年度整体工作任务目标，填报绩效目标，并对绩效目标进行合理细化和量化，便于监测项目实施进度，有利于项目目标的实现。二是规范绩效目标调整，强化绩效目标在预算绩效管理过程中的龙头地位。在预算及目标批复后，如遇特殊情况需要调整专项及项目实施内容的，要及时向财政部门履行申请批复程序，由财政部门逐级向上报备，并根据变更后的内容及时调整目标，以确保目标与实施内容及预算资金的一致性。</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574"/>
        <w:gridCol w:w="2100"/>
        <w:gridCol w:w="1860"/>
        <w:gridCol w:w="1005"/>
        <w:gridCol w:w="1125"/>
        <w:gridCol w:w="136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7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8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49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6"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574" w:type="dxa"/>
            <w:vMerge w:val="continue"/>
            <w:tcBorders>
              <w:tl2br w:val="nil"/>
              <w:tr2bl w:val="nil"/>
            </w:tcBorders>
            <w:vAlign w:val="center"/>
          </w:tcPr>
          <w:p/>
        </w:tc>
        <w:tc>
          <w:tcPr>
            <w:tcW w:w="2100" w:type="dxa"/>
            <w:vMerge w:val="continue"/>
            <w:tcBorders>
              <w:tl2br w:val="nil"/>
              <w:tr2bl w:val="nil"/>
            </w:tcBorders>
            <w:vAlign w:val="center"/>
          </w:tcPr>
          <w:p/>
        </w:tc>
        <w:tc>
          <w:tcPr>
            <w:tcW w:w="1860" w:type="dxa"/>
            <w:vMerge w:val="continue"/>
            <w:tcBorders>
              <w:tl2br w:val="nil"/>
              <w:tr2bl w:val="nil"/>
            </w:tcBorders>
            <w:vAlign w:val="center"/>
          </w:tcPr>
          <w:p/>
        </w:tc>
        <w:tc>
          <w:tcPr>
            <w:tcW w:w="100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12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6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83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15"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数量</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项目完成情况</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10分，达到指标值得满分，每少1次扣相应权重分的20%。</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反映全年重点项目完成数量</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rPr>
            </w:pPr>
          </w:p>
        </w:tc>
        <w:tc>
          <w:tcPr>
            <w:tcW w:w="112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15</w:t>
            </w:r>
          </w:p>
        </w:tc>
        <w:tc>
          <w:tcPr>
            <w:tcW w:w="13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283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批字【2014】1247号《关于调整土地租金的请示》的批复</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工程质量合格率</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20分，达到目标值得</w:t>
            </w:r>
          </w:p>
          <w:p>
            <w:pPr>
              <w:widowControl/>
              <w:adjustRightInd w:val="0"/>
              <w:snapToGrid w:val="0"/>
              <w:rPr>
                <w:rFonts w:ascii="方正书宋_GBK" w:eastAsia="方正书宋_GBK"/>
              </w:rPr>
            </w:pPr>
            <w:r>
              <w:rPr>
                <w:rFonts w:hint="eastAsia" w:ascii="方正书宋_GBK" w:eastAsia="方正书宋_GBK"/>
              </w:rPr>
              <w:t>满分，每降低10%扣相应权重分的10%。</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合格的工程数量占工程</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12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13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83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《建筑工程施工质量验收统一标准》</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工作按时完成率</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10分，满足指标值得满分，每超出1万元扣相应权重分的10%。</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反映整体工作完成时限</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rPr>
            </w:pPr>
          </w:p>
        </w:tc>
        <w:tc>
          <w:tcPr>
            <w:tcW w:w="11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13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年</w:t>
            </w:r>
          </w:p>
        </w:tc>
        <w:tc>
          <w:tcPr>
            <w:tcW w:w="283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批字【2014】1247号《关于调整土地租金的请示》的批复</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控制成本</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10分，满足指标值得满分，每超出1万元扣相应权重分的10%。</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反映各项工作总成本控制额</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rPr>
            </w:pPr>
          </w:p>
        </w:tc>
        <w:tc>
          <w:tcPr>
            <w:tcW w:w="112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2631.49</w:t>
            </w:r>
          </w:p>
        </w:tc>
        <w:tc>
          <w:tcPr>
            <w:tcW w:w="13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2835" w:type="dxa"/>
            <w:tcBorders>
              <w:tl2br w:val="nil"/>
              <w:tr2bl w:val="nil"/>
            </w:tcBorders>
            <w:vAlign w:val="center"/>
          </w:tcPr>
          <w:p>
            <w:pPr>
              <w:widowControl/>
              <w:adjustRightInd w:val="0"/>
              <w:snapToGrid w:val="0"/>
              <w:jc w:val="left"/>
              <w:rPr>
                <w:rFonts w:hint="eastAsia" w:ascii="方正书宋_GBK" w:eastAsia="方正书宋_GBK"/>
              </w:rPr>
            </w:pPr>
          </w:p>
          <w:p>
            <w:pPr>
              <w:widowControl/>
              <w:adjustRightInd w:val="0"/>
              <w:snapToGrid w:val="0"/>
              <w:jc w:val="left"/>
              <w:rPr>
                <w:rFonts w:hint="eastAsia" w:ascii="方正书宋_GBK" w:eastAsia="方正书宋_GBK"/>
              </w:rPr>
            </w:pPr>
            <w:r>
              <w:rPr>
                <w:rFonts w:hint="eastAsia" w:ascii="方正书宋_GBK" w:eastAsia="方正书宋_GBK"/>
              </w:rPr>
              <w:t>批字【2014】1247号《关于调整土地租金的请示》的批复</w:t>
            </w:r>
          </w:p>
          <w:p>
            <w:pPr>
              <w:widowControl/>
              <w:adjustRightInd w:val="0"/>
              <w:snapToGrid w:val="0"/>
              <w:jc w:val="lef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保障正常办公</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10分，达到目标值得满分，与上年持平得10分，不足于上年得5分。</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反映保障日常办公需要，维持单位正常运转</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b w:val="0"/>
                <w:bCs w:val="0"/>
                <w:sz w:val="21"/>
                <w:szCs w:val="21"/>
              </w:rPr>
              <w:t>文字描述</w:t>
            </w:r>
          </w:p>
        </w:tc>
        <w:tc>
          <w:tcPr>
            <w:tcW w:w="1125" w:type="dxa"/>
            <w:tcBorders>
              <w:tl2br w:val="nil"/>
              <w:tr2bl w:val="nil"/>
            </w:tcBorders>
            <w:vAlign w:val="center"/>
          </w:tcPr>
          <w:p>
            <w:pPr>
              <w:widowControl/>
              <w:adjustRightInd w:val="0"/>
              <w:snapToGrid w:val="0"/>
              <w:jc w:val="center"/>
              <w:rPr>
                <w:rFonts w:ascii="方正书宋_GBK" w:eastAsia="方正书宋_GBK"/>
              </w:rPr>
            </w:pPr>
          </w:p>
        </w:tc>
        <w:tc>
          <w:tcPr>
            <w:tcW w:w="13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显著提高</w:t>
            </w:r>
          </w:p>
        </w:tc>
        <w:tc>
          <w:tcPr>
            <w:tcW w:w="2835" w:type="dxa"/>
            <w:tcBorders>
              <w:tl2br w:val="nil"/>
              <w:tr2bl w:val="nil"/>
            </w:tcBorders>
            <w:vAlign w:val="center"/>
          </w:tcPr>
          <w:p>
            <w:pPr>
              <w:widowControl/>
              <w:adjustRightInd w:val="0"/>
              <w:snapToGrid w:val="0"/>
              <w:jc w:val="left"/>
              <w:rPr>
                <w:rFonts w:ascii="方正书宋_GBK" w:eastAsia="方正书宋_GBK"/>
              </w:rPr>
            </w:pPr>
            <w:r>
              <w:rPr>
                <w:rFonts w:hint="eastAsia" w:ascii="方正书宋_GBK" w:eastAsia="方正书宋_GBK"/>
              </w:rPr>
              <w:t>督查室【2019】2057号《关于申请增加电费及报刊经费的请示》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业务能力增强</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10分，达到目标值得满分，与上年持平得10分，不足于上年得5分。</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反映干部职工的办公能力提升</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b w:val="0"/>
                <w:bCs w:val="0"/>
                <w:sz w:val="21"/>
                <w:szCs w:val="21"/>
              </w:rPr>
              <w:t>文字描述</w:t>
            </w:r>
          </w:p>
        </w:tc>
        <w:tc>
          <w:tcPr>
            <w:tcW w:w="1125" w:type="dxa"/>
            <w:tcBorders>
              <w:tl2br w:val="nil"/>
              <w:tr2bl w:val="nil"/>
            </w:tcBorders>
            <w:vAlign w:val="center"/>
          </w:tcPr>
          <w:p>
            <w:pPr>
              <w:widowControl/>
              <w:adjustRightInd w:val="0"/>
              <w:snapToGrid w:val="0"/>
              <w:jc w:val="center"/>
              <w:rPr>
                <w:rFonts w:ascii="方正书宋_GBK" w:eastAsia="方正书宋_GBK"/>
              </w:rPr>
            </w:pPr>
          </w:p>
        </w:tc>
        <w:tc>
          <w:tcPr>
            <w:tcW w:w="13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持续提高</w:t>
            </w:r>
          </w:p>
        </w:tc>
        <w:tc>
          <w:tcPr>
            <w:tcW w:w="2835" w:type="dxa"/>
            <w:tcBorders>
              <w:tl2br w:val="nil"/>
              <w:tr2bl w:val="nil"/>
            </w:tcBorders>
            <w:vAlign w:val="center"/>
          </w:tcPr>
          <w:p>
            <w:pPr>
              <w:widowControl/>
              <w:adjustRightInd w:val="0"/>
              <w:snapToGrid w:val="0"/>
              <w:jc w:val="left"/>
              <w:rPr>
                <w:rFonts w:ascii="方正书宋_GBK" w:eastAsia="方正书宋_GBK"/>
              </w:rPr>
            </w:pPr>
            <w:r>
              <w:rPr>
                <w:rFonts w:hint="eastAsia" w:ascii="方正书宋_GBK" w:eastAsia="方正书宋_GBK"/>
              </w:rPr>
              <w:t>督查室【2019】2113号、《关于申请非公企业和社会组织党建工作专项经费的请示》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636"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参与活动的企业满意度</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10分，达到目标值得满分，每降低10%扣相应权重分的10%。</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调查中满意和较满意的企业数占调查总企业数的比率</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12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13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问卷调查</w:t>
            </w:r>
          </w:p>
        </w:tc>
      </w:tr>
    </w:tbl>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安全生产经费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1575"/>
        <w:gridCol w:w="1725"/>
        <w:gridCol w:w="2386"/>
        <w:gridCol w:w="2159"/>
        <w:gridCol w:w="4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73" w:type="dxa"/>
            <w:gridSpan w:val="5"/>
            <w:vAlign w:val="center"/>
          </w:tcPr>
          <w:p>
            <w:pPr>
              <w:spacing w:line="300"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通过深入贯彻落实安全生产工作要求，为实现农业发展总目标保驾护航。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7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2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86"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1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72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restart"/>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575"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rPr>
              <w:t>数量指标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日常支出</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安全生产方面日常支出</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=0.3万元</w:t>
            </w:r>
          </w:p>
        </w:tc>
        <w:tc>
          <w:tcPr>
            <w:tcW w:w="4728" w:type="dxa"/>
            <w:vAlign w:val="center"/>
          </w:tcPr>
          <w:p>
            <w:pPr>
              <w:widowControl/>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《安全法》第八条；督查室【2018】726号、《关于加强安监站建设申请拨付资金的请示》；三政【2020】17号《三河市人民政府关于印发&lt;三河市创建精品高端优特产业园的实施意见&gt;的通知》、工作计划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continue"/>
            <w:vAlign w:val="center"/>
          </w:tcPr>
          <w:p>
            <w:pPr>
              <w:rPr>
                <w:rFonts w:hint="eastAsia" w:ascii="仿宋_GB2312" w:hAnsi="仿宋_GB2312" w:eastAsia="仿宋_GB2312" w:cs="仿宋_GB2312"/>
              </w:rPr>
            </w:pPr>
          </w:p>
        </w:tc>
        <w:tc>
          <w:tcPr>
            <w:tcW w:w="157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质量合格率</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质量合格率=宣传品合格数量/宣传品全部数量×100%</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=100%</w:t>
            </w:r>
          </w:p>
        </w:tc>
        <w:tc>
          <w:tcPr>
            <w:tcW w:w="4728" w:type="dxa"/>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《安全法》第八条；督查室【2018】726号、《关于加强安监站建设申请拨付资金的请示》；三政【2020】17号《三河市人民政府关于印发&lt;三河市创建精品高端优特产业园的实施意见&gt;的通知》、工作计划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continue"/>
            <w:vAlign w:val="center"/>
          </w:tcPr>
          <w:p>
            <w:pPr>
              <w:rPr>
                <w:rFonts w:hint="eastAsia" w:ascii="仿宋_GB2312" w:hAnsi="仿宋_GB2312" w:eastAsia="仿宋_GB2312" w:cs="仿宋_GB2312"/>
              </w:rPr>
            </w:pPr>
          </w:p>
        </w:tc>
        <w:tc>
          <w:tcPr>
            <w:tcW w:w="157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按时完成及时率</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反映工作完成及时率</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=100%</w:t>
            </w:r>
          </w:p>
        </w:tc>
        <w:tc>
          <w:tcPr>
            <w:tcW w:w="4728" w:type="dxa"/>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《安全法》第八条；督查室【2018】726号、《关于加强安监站建设申请拨付资金的请示》；三政【2020】17号《三河市人民政府关于印发&lt;三河市创建精品高端优特产业园的实施意见&gt;的通知》、工作计划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continue"/>
            <w:vAlign w:val="center"/>
          </w:tcPr>
          <w:p>
            <w:pPr>
              <w:rPr>
                <w:rFonts w:hint="eastAsia" w:ascii="仿宋_GB2312" w:hAnsi="仿宋_GB2312" w:eastAsia="仿宋_GB2312" w:cs="仿宋_GB2312"/>
              </w:rPr>
            </w:pPr>
          </w:p>
        </w:tc>
        <w:tc>
          <w:tcPr>
            <w:tcW w:w="157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成本控制</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一次安全生产培训费用</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≤0.3万元</w:t>
            </w:r>
          </w:p>
        </w:tc>
        <w:tc>
          <w:tcPr>
            <w:tcW w:w="4728" w:type="dxa"/>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《安全法》第八条；督查室【2018】726号、《关于加强安监站建设申请拨付资金的请示》；三政【2020】17号《三河市人民政府关于印发&lt;三河市创建精品高端优特产业园的实施意见&gt;的通知》、工作计划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1575" w:type="dxa"/>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社会效益指标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保障园区生产安全</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保障区域内安全生产需要</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明显改善</w:t>
            </w:r>
          </w:p>
        </w:tc>
        <w:tc>
          <w:tcPr>
            <w:tcW w:w="4728" w:type="dxa"/>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sz w:val="21"/>
                <w:szCs w:val="21"/>
                <w:lang w:val="en-US" w:eastAsia="zh-CN"/>
              </w:rPr>
              <w:t>《安全法》第八条；督查室【2018】726号、《关于加强安监站建设申请拨付资金的请示》；三政【2020】17号《三河市人民政府关于印发&lt;三河市创建精品高端优特产业园的实施意见&gt;的通知》、工作计划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9" w:hRule="atLeast"/>
          <w:jc w:val="center"/>
        </w:trPr>
        <w:tc>
          <w:tcPr>
            <w:tcW w:w="148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75" w:type="dxa"/>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服务对象满意度指标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参与企业满意度</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调查中满意和较满意的企业数占调查总数</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≥90%</w:t>
            </w:r>
          </w:p>
        </w:tc>
        <w:tc>
          <w:tcPr>
            <w:tcW w:w="4728" w:type="dxa"/>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问卷调查</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党建工作经费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通过项目的开展，完成办公设施日常维护及故障排除，实现机关的行政、后勤管理得到保障，园区工作全面均衡发展。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7"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党建培训次数</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反映全年园区党建培训次数</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=4次</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督查室【2019】2113号、《关于申请非公企业和社会组织党建工作专项经费的请示》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7"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参会人员出勤率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反映参会人员占应参会人员的比例</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督查室【2019】2113号、《关于申请非公企业和社会组织党建工作专项经费的请示》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6"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按时完成及时率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反映工作完成及时率</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督查室【2019】2113号、《关于申请非公企业和社会组织党建工作专项经费的请示》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党建培训成本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反映每次党建培训单位成本的控制情况</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≤0.5万元</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督查室【2019】2113号、《关于申请非公企业和社会组织党建工作专项经费的请示》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企业及园区干部职工思想业务能力</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企业及园区干部职工思想政治品质及业务能力提升</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持续提高</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督查室【2019】2113号、《关于申请非公企业和社会组织党建工作专项经费的请示》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企业及园区干部职工满意度</w:t>
            </w:r>
          </w:p>
        </w:tc>
        <w:tc>
          <w:tcPr>
            <w:tcW w:w="213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通过问卷调查，满意和较满意的对象占所有调查对象的比例</w:t>
            </w:r>
          </w:p>
        </w:tc>
        <w:tc>
          <w:tcPr>
            <w:tcW w:w="1620" w:type="dxa"/>
            <w:vAlign w:val="center"/>
          </w:tcPr>
          <w:p>
            <w:pPr>
              <w:pStyle w:val="15"/>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≥90%</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3.农业园区考核评估工作经费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通过项目实施，确保准备工作顺利进行，顺利通过考核评估。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8"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制作专题片及ppt数量</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反映制作专题片及ppt数量</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=2个</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国科发农【2020】173号科技部 农业农村部 水利部 国家林业和草原局 中国科学院 中国农业银行关于印发《国家农业科技园区管理办法》的通知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配套设施完成率（%）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实际完成设施量占计划完成设施量的比率</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国科发农【2020】173号科技部 农业农村部 水利部 国家林业和草原局 中国科学院 中国农业银行关于印发《国家农业科技园区管理办法》的通知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5"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按时完成及时率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反映工作完成及时率</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国科发农【2020】173号科技部 农业农村部 水利部 国家林业和草原局 中国科学院 中国农业银行关于印发《国家农业科技园区管理办法》的通知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制作专题片及PPT成本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反映单次制作专题片及PPT成本情况</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val="en-US" w:eastAsia="zh-CN"/>
              </w:rPr>
              <w:t xml:space="preserve"> 20万元</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国科发农【2020】173号科技部 农业农村部 水利部 国家林业和草原局 中国科学院 中国农业银行关于印发《国家农业科技园区管理办法》的通知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7"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园区知名度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提高园区知名度</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明显改善</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国科发农【2020】173号科技部 农业农村部 水利部 国家林业和草原局 中国科学院 中国农业银行关于印发《国家农业科技园区管理办法》的通知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企业及园区干部职工满意度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调查中满意和较满意的人员占全部调查人数的比率</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val="en-US" w:eastAsia="zh-CN"/>
              </w:rPr>
              <w:t>90%</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棚室补贴</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通过棚室补贴项目，打造提升发展农业产业，带动农民就业，为农民增收。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土地租赁面积</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反映土地租赁面积</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=237.9472亩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温室验收合格率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温室验收合格数量/全部建成温室数量</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1"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验收完成时间</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验收完成所用天数</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60天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园区温室单位补贴标准</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反映园区温室每亩补贴标准</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=2.5万元/亩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4"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推进绿色农业发展水平</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反映项目实施对绿色农业影响</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调查中满意和较满意的企业数占调查企业总数的比率</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5.棚室补贴全额保障经费绩效目标表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通过棚室补贴项目，打造提升发展农业产业，带动农民就业，为农民增收。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土地租赁面积</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反映土地租赁面积</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=237.9472亩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温室验收合格率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温室验收合格数量/全部建成温室数量</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验收完成时间</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验收完成所用天数</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60天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园区温室单位补贴标准</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反映园区温室每亩补贴标准</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=2.5万元/亩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推进绿色农业发展水平</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反映项目实施对绿色农业影响</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调查中满意和较满意的企业数占调查企业总数的比率</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土地租金全额保障经费绩效目标表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260"/>
        <w:gridCol w:w="5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通过合理利用土地，实现发展农业产业，为农民增收。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9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土地租赁面积</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反映土地租赁面积</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=7815.3亩</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批字【2014】1247号《关于调整土地租金的请示》的批复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上缴完成率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上缴财政土地租金占实际收入土地租金的比例</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批字【2014】1247号《关于调整土地租金的请示》的批复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按时完成及时率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反映工作完成及时率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批字【2014】1247号《关于调整土地租金的请示》的批复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园区土地年度租赁费标准</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反映园区每亩土地年度租赁费标准</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=1500元/亩</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批字【2014】1247号《关于调整土地租金的请示》的批复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可持续影响指标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合理使用土地</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区域内合理使用土地</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批字【2014】1247号《关于调整土地租金的请示》的批复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调查中满意和较满意的企业数占调查总企业数的比率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529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hint="eastAsia" w:ascii="Times New Roman" w:hAnsi="Times New Roman" w:eastAsia="仿宋_GB2312" w:cs="Times New Roman"/>
          <w:sz w:val="28"/>
        </w:rPr>
        <w:t>园区绿化及设施维护经费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260"/>
        <w:gridCol w:w="5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通过排除基础设施故障，绿化养护及基础设施维护，保证区域内绿化养护达标。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9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园区绿化养护次数</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反映园区全年绿化养护次数</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=4次</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r>
              <w:rPr>
                <w:rFonts w:hint="eastAsia" w:ascii="Times New Roman" w:hAnsi="Times New Roman" w:eastAsia="仿宋_GB2312" w:cs="Times New Roman"/>
                <w:lang w:val="en-US" w:eastAsia="zh-CN"/>
              </w:rPr>
              <w:t>=</w:t>
            </w:r>
            <w:r>
              <w:rPr>
                <w:rFonts w:hint="eastAsia" w:ascii="仿宋_GB2312" w:hAnsi="仿宋_GB2312" w:eastAsia="仿宋_GB2312" w:cs="仿宋_GB2312"/>
                <w:sz w:val="21"/>
                <w:szCs w:val="21"/>
                <w:lang w:val="en-US" w:eastAsia="zh-CN"/>
              </w:rPr>
              <w:t>设施维护合格数量/设施维护全部数量×100%。</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8"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按时维修完成及时率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反映维修工作完成及时率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1759" w:type="dxa"/>
            <w:vMerge w:val="continue"/>
            <w:vAlign w:val="center"/>
          </w:tcPr>
          <w:p/>
        </w:tc>
        <w:tc>
          <w:tcPr>
            <w:tcW w:w="1605" w:type="dxa"/>
            <w:vMerge w:val="restart"/>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单位月份园区绿化养护成本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反应每月园区绿化养护成本情况</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=35750元</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4" w:hRule="atLeast"/>
          <w:jc w:val="center"/>
        </w:trPr>
        <w:tc>
          <w:tcPr>
            <w:tcW w:w="1759" w:type="dxa"/>
            <w:vMerge w:val="continue"/>
            <w:vAlign w:val="center"/>
          </w:tcPr>
          <w:p/>
        </w:tc>
        <w:tc>
          <w:tcPr>
            <w:tcW w:w="1605"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201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电工及清扫人员工资</w:t>
            </w:r>
          </w:p>
        </w:tc>
        <w:tc>
          <w:tcPr>
            <w:tcW w:w="213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反映电工及清扫人员工资</w:t>
            </w:r>
          </w:p>
        </w:tc>
        <w:tc>
          <w:tcPr>
            <w:tcW w:w="126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≤1.3万元</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保障日常办公需要，维持单位正常运转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反映保障日常办公需要，维持单位正常运转</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调查中满意和较满意的企业数占调查总企业数的比率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529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8.园区绿化及设施维护年度保障经费绩效目标表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260"/>
        <w:gridCol w:w="5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通过排除基础设施故障，绿化养护及基础设施维护，保证区域内绿化养护达标。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9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园区绿化养护次数</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反映园区全年绿化养护次数</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=12次</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r>
              <w:rPr>
                <w:rFonts w:hint="eastAsia" w:ascii="Times New Roman" w:hAnsi="Times New Roman" w:eastAsia="仿宋_GB2312" w:cs="Times New Roman"/>
                <w:lang w:val="en-US" w:eastAsia="zh-CN"/>
              </w:rPr>
              <w:t>=</w:t>
            </w:r>
            <w:r>
              <w:rPr>
                <w:rFonts w:hint="eastAsia" w:ascii="仿宋_GB2312" w:hAnsi="仿宋_GB2312" w:eastAsia="仿宋_GB2312" w:cs="仿宋_GB2312"/>
                <w:sz w:val="21"/>
                <w:szCs w:val="21"/>
                <w:lang w:val="en-US" w:eastAsia="zh-CN"/>
              </w:rPr>
              <w:t>设施维护合格数量/设施维护全部数量×100%。</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按时维修完成及时率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反映维修工作完成及时率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tc>
        <w:tc>
          <w:tcPr>
            <w:tcW w:w="1605" w:type="dxa"/>
            <w:vMerge w:val="restart"/>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单位月份园区绿化养护成本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反应每月园区绿化养护成本情况</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=37600元</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tc>
        <w:tc>
          <w:tcPr>
            <w:tcW w:w="1605"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2010" w:type="dxa"/>
            <w:vAlign w:val="center"/>
          </w:tcPr>
          <w:p>
            <w:pPr>
              <w:pStyle w:val="15"/>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劳务费</w:t>
            </w:r>
          </w:p>
        </w:tc>
        <w:tc>
          <w:tcPr>
            <w:tcW w:w="213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反映电工及清扫人员工资</w:t>
            </w:r>
          </w:p>
        </w:tc>
        <w:tc>
          <w:tcPr>
            <w:tcW w:w="126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highlight w:val="none"/>
                <w:lang w:val="en-US" w:eastAsia="zh-CN" w:bidi="ar-SA"/>
              </w:rPr>
              <w:t>≤132000元</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保障日常办公需要，维持单位正常运转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反映保障日常办公需要，维持单位正常运转</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调查中满意和较满意的企业数占调查总企业数的比率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529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Times New Roman" w:hAnsi="Times New Roman" w:eastAsia="仿宋_GB2312" w:cs="Times New Roman"/>
          <w:sz w:val="28"/>
        </w:rPr>
        <w:t>招商引资经费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通过推动园区招商引资工作，力争取得新突破，促进园区经济发展。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招商活动次数</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反映园区招商活动次数</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=4次</w:t>
            </w:r>
          </w:p>
        </w:tc>
        <w:tc>
          <w:tcPr>
            <w:tcW w:w="4938" w:type="dxa"/>
            <w:vAlign w:val="center"/>
          </w:tcPr>
          <w:p>
            <w:pPr>
              <w:widowControl/>
              <w:jc w:val="left"/>
              <w:textAlignment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督查室【2019】210号、《关于招商经费列入2019年财政预算的请示》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r>
              <w:rPr>
                <w:rFonts w:hint="eastAsia" w:ascii="Times New Roman" w:hAnsi="Times New Roman" w:eastAsia="仿宋_GB2312" w:cs="Times New Roman"/>
                <w:lang w:val="en-US" w:eastAsia="zh-CN"/>
              </w:rPr>
              <w:t>=</w:t>
            </w:r>
            <w:r>
              <w:rPr>
                <w:rFonts w:hint="eastAsia" w:ascii="仿宋_GB2312" w:hAnsi="仿宋_GB2312" w:eastAsia="仿宋_GB2312" w:cs="仿宋_GB2312"/>
                <w:sz w:val="21"/>
                <w:szCs w:val="21"/>
                <w:lang w:val="en-US" w:eastAsia="zh-CN"/>
              </w:rPr>
              <w:t>宣传品合格数量/宣传品全部数量×100%</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督查室【2019】210号、《关于招商经费列入2019年财政预算的请示》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4"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p>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2"/>
                <w:sz w:val="21"/>
                <w:szCs w:val="21"/>
                <w:lang w:val="en-US" w:eastAsia="zh-CN" w:bidi="ar-SA"/>
              </w:rPr>
              <w:pict>
                <v:shape id="Text_Box_1" o:spid="_x0000_s1145" o:spt="75" type="#_x0000_t75" style="position:absolute;left:0pt;margin-left:43.5pt;margin-top:24.85pt;height:16.35pt;width:6pt;z-index:251659264;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 o:spid="_x0000_s1146" o:spt="75" type="#_x0000_t75" style="position:absolute;left:0pt;margin-left:48pt;margin-top:24.85pt;height:16.35pt;width:6pt;z-index:251660288;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2" o:spid="_x0000_s1147" o:spt="75" type="#_x0000_t75" style="position:absolute;left:0pt;margin-left:48pt;margin-top:24.85pt;height:16.35pt;width:6pt;z-index:251661312;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sz w:val="21"/>
                <w:szCs w:val="21"/>
                <w:lang w:val="en-US" w:eastAsia="zh-CN"/>
              </w:rPr>
              <w:t>按时完成及时率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p>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2"/>
                <w:sz w:val="21"/>
                <w:szCs w:val="21"/>
                <w:lang w:val="en-US" w:eastAsia="zh-CN" w:bidi="ar-SA"/>
              </w:rPr>
              <w:pict>
                <v:shape id="Text_Box_1_SpCnt_3" o:spid="_x0000_s1148" o:spt="75" type="#_x0000_t75" style="position:absolute;left:0pt;margin-left:48pt;margin-top:24.85pt;height:16.35pt;width:6pt;z-index:251662336;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4" o:spid="_x0000_s1149" o:spt="75" type="#_x0000_t75" style="position:absolute;left:0pt;margin-left:48pt;margin-top:24.85pt;height:17.2pt;width:6pt;z-index:251663360;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5" o:spid="_x0000_s1150" o:spt="75" type="#_x0000_t75" style="position:absolute;left:0pt;margin-left:48pt;margin-top:24.85pt;height:16.35pt;width:6pt;z-index:251664384;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6" o:spid="_x0000_s1151" o:spt="75" type="#_x0000_t75" style="position:absolute;left:0pt;margin-left:48pt;margin-top:24.85pt;height:16.35pt;width:6pt;z-index:251665408;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7" o:spid="_x0000_s1152" o:spt="75" type="#_x0000_t75" style="position:absolute;left:0pt;margin-left:48pt;margin-top:24.85pt;height:17.2pt;width:6pt;z-index:251666432;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8" o:spid="_x0000_s1153" o:spt="75" type="#_x0000_t75" style="position:absolute;left:0pt;margin-left:48pt;margin-top:24.85pt;height:16.35pt;width:6pt;z-index:251667456;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sz w:val="21"/>
                <w:szCs w:val="21"/>
                <w:lang w:val="en-US" w:eastAsia="zh-CN"/>
              </w:rPr>
              <w:t>反映工作完成及时率</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督查室【2019】210号、《关于招商经费列入2019年财政预算的请示》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94"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p>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2"/>
                <w:sz w:val="21"/>
                <w:szCs w:val="21"/>
                <w:lang w:val="en-US" w:eastAsia="zh-CN" w:bidi="ar-SA"/>
              </w:rPr>
              <w:pict>
                <v:shape id="Text_Box_1_SpCnt_9" o:spid="_x0000_s1154" o:spt="75" type="#_x0000_t75" style="position:absolute;left:0pt;margin-left:42.75pt;margin-top:14.9pt;height:16.55pt;width:6pt;z-index:251668480;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0" o:spid="_x0000_s1155" o:spt="75" type="#_x0000_t75" style="position:absolute;left:0pt;margin-left:43.5pt;margin-top:14.9pt;height:16.55pt;width:7.5pt;z-index:251669504;mso-width-relative:page;mso-height-relative:page;" fillcolor="#FFFFFF" filled="f" o:preferrelative="t" stroked="f" coordsize="21600,21600">
                  <v:path/>
                  <v:fill on="f" color2="#FFFFFF" focussize="0,0"/>
                  <v:stroke on="f"/>
                  <v:imagedata r:id="rId7"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1" o:spid="_x0000_s1156" o:spt="75" type="#_x0000_t75" style="position:absolute;left:0pt;margin-left:43.5pt;margin-top:14.9pt;height:16.55pt;width:6pt;z-index:251670528;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2" o:spid="_x0000_s1157" o:spt="75" type="#_x0000_t75" style="position:absolute;left:0pt;margin-left:48pt;margin-top:24.85pt;height:16.35pt;width:6pt;z-index:251671552;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sz w:val="21"/>
                <w:szCs w:val="21"/>
                <w:lang w:val="en-US" w:eastAsia="zh-CN"/>
              </w:rPr>
              <w:t>招商引资活动单位成本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p>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2"/>
                <w:sz w:val="21"/>
                <w:szCs w:val="21"/>
                <w:lang w:val="en-US" w:eastAsia="zh-CN" w:bidi="ar-SA"/>
              </w:rPr>
              <w:pict>
                <v:shape id="Text_Box_1_SpCnt_13" o:spid="_x0000_s1158" o:spt="75" type="#_x0000_t75" style="position:absolute;left:0pt;margin-left:48pt;margin-top:24.85pt;height:16.35pt;width:6pt;z-index:251672576;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4" o:spid="_x0000_s1159" o:spt="75" type="#_x0000_t75" style="position:absolute;left:0pt;margin-left:48pt;margin-top:24.85pt;height:16.35pt;width:6pt;z-index:251673600;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5" o:spid="_x0000_s1160" o:spt="75" type="#_x0000_t75" style="position:absolute;left:0pt;margin-left:48pt;margin-top:24.85pt;height:16.35pt;width:6pt;z-index:251674624;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6" o:spid="_x0000_s1161" o:spt="75" type="#_x0000_t75" style="position:absolute;left:0pt;margin-left:48pt;margin-top:24.85pt;height:16.35pt;width:6pt;z-index:251675648;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7" o:spid="_x0000_s1162" o:spt="75" type="#_x0000_t75" style="position:absolute;left:0pt;margin-left:48pt;margin-top:24.85pt;height:16.35pt;width:6pt;z-index:251676672;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8" o:spid="_x0000_s1163" o:spt="75" type="#_x0000_t75" style="position:absolute;left:0pt;margin-left:48pt;margin-top:24.85pt;height:16.35pt;width:6pt;z-index:251677696;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9" o:spid="_x0000_s1164" o:spt="75" type="#_x0000_t75" style="position:absolute;left:0pt;margin-left:48pt;margin-top:24.85pt;height:16.35pt;width:6pt;z-index:251678720;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20" o:spid="_x0000_s1165" o:spt="75" type="#_x0000_t75" style="position:absolute;left:0pt;margin-left:48pt;margin-top:24.85pt;height:16.35pt;width:6pt;z-index:251679744;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21" o:spid="_x0000_s1166" o:spt="75" type="#_x0000_t75" style="position:absolute;left:0pt;margin-left:48pt;margin-top:24.85pt;height:16.35pt;width:6pt;z-index:251680768;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22" o:spid="_x0000_s1167" o:spt="75" type="#_x0000_t75" style="position:absolute;left:0pt;margin-left:48pt;margin-top:24.85pt;height:16.35pt;width:6pt;z-index:251681792;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sz w:val="21"/>
                <w:szCs w:val="21"/>
                <w:lang w:val="en-US" w:eastAsia="zh-CN"/>
              </w:rPr>
              <w:t>反映平均每次招商引资活动成本控制情况</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 xml:space="preserve"> 5万元</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督查室【2019】210号、《关于招商经费列入2019年财政预算的请示》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园区知名度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提高园区知名度</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督查室【2019】210号、《关于招商经费列入2019年财政预算的请示》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调查中满意和较满意的企业数占调查总企业数的比率</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综合管理年度保障经费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260"/>
        <w:gridCol w:w="5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通过实施综合事务管理项目，极大提升园区的办公及营商环境。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9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605"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保障人数</w:t>
            </w:r>
          </w:p>
        </w:tc>
        <w:tc>
          <w:tcPr>
            <w:tcW w:w="213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反映保障人数</w:t>
            </w:r>
          </w:p>
        </w:tc>
        <w:tc>
          <w:tcPr>
            <w:tcW w:w="126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8人</w:t>
            </w:r>
          </w:p>
        </w:tc>
        <w:tc>
          <w:tcPr>
            <w:tcW w:w="5298"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rPr>
            </w:pPr>
          </w:p>
        </w:tc>
        <w:tc>
          <w:tcPr>
            <w:tcW w:w="1605"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201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运转支出</w:t>
            </w:r>
          </w:p>
        </w:tc>
        <w:tc>
          <w:tcPr>
            <w:tcW w:w="213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电费、锅炉维保等运转经费</w:t>
            </w:r>
          </w:p>
        </w:tc>
        <w:tc>
          <w:tcPr>
            <w:tcW w:w="126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1次</w:t>
            </w:r>
          </w:p>
        </w:tc>
        <w:tc>
          <w:tcPr>
            <w:tcW w:w="5298"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保障人员率</w:t>
            </w:r>
          </w:p>
        </w:tc>
        <w:tc>
          <w:tcPr>
            <w:tcW w:w="2130"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保障人员率=保障人数/需保障总人数×100%</w:t>
            </w:r>
          </w:p>
        </w:tc>
        <w:tc>
          <w:tcPr>
            <w:tcW w:w="126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100%</w:t>
            </w:r>
          </w:p>
        </w:tc>
        <w:tc>
          <w:tcPr>
            <w:tcW w:w="5298"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工资发放及时率</w:t>
            </w:r>
          </w:p>
        </w:tc>
        <w:tc>
          <w:tcPr>
            <w:tcW w:w="2130"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反映按时发放工资及时率</w:t>
            </w:r>
          </w:p>
        </w:tc>
        <w:tc>
          <w:tcPr>
            <w:tcW w:w="126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100%</w:t>
            </w:r>
          </w:p>
        </w:tc>
        <w:tc>
          <w:tcPr>
            <w:tcW w:w="5298"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劳务派遣人员工资发放及保险标准</w:t>
            </w:r>
          </w:p>
        </w:tc>
        <w:tc>
          <w:tcPr>
            <w:tcW w:w="2130" w:type="dxa"/>
            <w:vAlign w:val="center"/>
          </w:tcPr>
          <w:p>
            <w:pPr>
              <w:pStyle w:val="15"/>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rPr>
              <w:t>反映劳务派遣人员年工资发放及保险标准</w:t>
            </w:r>
          </w:p>
        </w:tc>
        <w:tc>
          <w:tcPr>
            <w:tcW w:w="1260" w:type="dxa"/>
            <w:vAlign w:val="center"/>
          </w:tcPr>
          <w:p>
            <w:pPr>
              <w:pStyle w:val="15"/>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rPr>
              <w:t>≤49.4万元</w:t>
            </w:r>
          </w:p>
        </w:tc>
        <w:tc>
          <w:tcPr>
            <w:tcW w:w="5298"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201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运转支出成本</w:t>
            </w:r>
          </w:p>
        </w:tc>
        <w:tc>
          <w:tcPr>
            <w:tcW w:w="213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反映运转支出成本</w:t>
            </w:r>
          </w:p>
        </w:tc>
        <w:tc>
          <w:tcPr>
            <w:tcW w:w="126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≤58.54万元</w:t>
            </w:r>
          </w:p>
        </w:tc>
        <w:tc>
          <w:tcPr>
            <w:tcW w:w="5298"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保障日常办公需要，维持单位正常运转</w:t>
            </w:r>
          </w:p>
        </w:tc>
        <w:tc>
          <w:tcPr>
            <w:tcW w:w="213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反映保障日常办公需要，维持单位正常运转</w:t>
            </w:r>
          </w:p>
        </w:tc>
        <w:tc>
          <w:tcPr>
            <w:tcW w:w="1260" w:type="dxa"/>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显著提高</w:t>
            </w:r>
          </w:p>
        </w:tc>
        <w:tc>
          <w:tcPr>
            <w:tcW w:w="529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园区办公人员满意度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调查中满意和较满意的办公人员占全部调查人数的比率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529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综合管理业务费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260"/>
        <w:gridCol w:w="5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通过实施综合事务管理项目，极大提升园区的办公及营商环境。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9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锅炉维保次数</w:t>
            </w:r>
          </w:p>
        </w:tc>
        <w:tc>
          <w:tcPr>
            <w:tcW w:w="2130" w:type="dxa"/>
            <w:vAlign w:val="center"/>
          </w:tcPr>
          <w:p>
            <w:pPr>
              <w:pStyle w:val="15"/>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每年锅炉维保次数</w:t>
            </w:r>
          </w:p>
        </w:tc>
        <w:tc>
          <w:tcPr>
            <w:tcW w:w="126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=1次</w:t>
            </w:r>
          </w:p>
        </w:tc>
        <w:tc>
          <w:tcPr>
            <w:tcW w:w="5298" w:type="dxa"/>
            <w:vAlign w:val="center"/>
          </w:tcPr>
          <w:p>
            <w:pPr>
              <w:pStyle w:val="15"/>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rPr>
              <w:t>保障人员率</w:t>
            </w:r>
          </w:p>
        </w:tc>
        <w:tc>
          <w:tcPr>
            <w:tcW w:w="213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rPr>
              <w:t>保障人员率</w:t>
            </w:r>
            <w:r>
              <w:rPr>
                <w:rFonts w:hint="default" w:ascii="Times New Roman" w:hAnsi="Times New Roman" w:eastAsia="仿宋_GB2312" w:cs="Times New Roman"/>
                <w:sz w:val="21"/>
                <w:szCs w:val="21"/>
                <w:lang w:val="en-US" w:eastAsia="zh-CN"/>
              </w:rPr>
              <w:t>=</w:t>
            </w:r>
            <w:r>
              <w:rPr>
                <w:rFonts w:hint="eastAsia" w:ascii="仿宋_GB2312" w:hAnsi="仿宋_GB2312" w:eastAsia="仿宋_GB2312" w:cs="仿宋_GB2312"/>
                <w:i w:val="0"/>
                <w:iCs w:val="0"/>
                <w:color w:val="000000"/>
                <w:kern w:val="0"/>
                <w:sz w:val="21"/>
                <w:szCs w:val="21"/>
                <w:u w:val="none"/>
                <w:lang w:val="en-US" w:eastAsia="zh-CN"/>
              </w:rPr>
              <w:t>保障人数/需保障总人数×100%。</w:t>
            </w:r>
          </w:p>
        </w:tc>
        <w:tc>
          <w:tcPr>
            <w:tcW w:w="126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default" w:ascii="Times New Roman" w:hAnsi="Times New Roman" w:eastAsia="仿宋_GB2312" w:cs="Times New Roman"/>
                <w:sz w:val="21"/>
                <w:szCs w:val="21"/>
                <w:lang w:val="en-US" w:eastAsia="zh-CN"/>
              </w:rPr>
              <w:t>=</w:t>
            </w:r>
            <w:r>
              <w:rPr>
                <w:rFonts w:hint="eastAsia" w:ascii="仿宋_GB2312" w:hAnsi="仿宋_GB2312" w:eastAsia="仿宋_GB2312" w:cs="仿宋_GB2312"/>
                <w:sz w:val="21"/>
                <w:szCs w:val="21"/>
                <w:lang w:val="en-US" w:eastAsia="zh-CN"/>
              </w:rPr>
              <w:t>100%</w:t>
            </w:r>
          </w:p>
        </w:tc>
        <w:tc>
          <w:tcPr>
            <w:tcW w:w="5298" w:type="dxa"/>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rPr>
              <w:t>工资发放及时率</w:t>
            </w:r>
          </w:p>
        </w:tc>
        <w:tc>
          <w:tcPr>
            <w:tcW w:w="213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rPr>
              <w:t>反映按时发放工资及时率</w:t>
            </w:r>
          </w:p>
        </w:tc>
        <w:tc>
          <w:tcPr>
            <w:tcW w:w="126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default" w:ascii="Times New Roman" w:hAnsi="Times New Roman" w:eastAsia="仿宋_GB2312" w:cs="Times New Roman"/>
                <w:sz w:val="21"/>
                <w:szCs w:val="21"/>
                <w:lang w:val="en-US" w:eastAsia="zh-CN"/>
              </w:rPr>
              <w:t>=</w:t>
            </w:r>
            <w:r>
              <w:rPr>
                <w:rFonts w:hint="eastAsia" w:ascii="仿宋_GB2312" w:hAnsi="仿宋_GB2312" w:eastAsia="仿宋_GB2312" w:cs="仿宋_GB2312"/>
                <w:sz w:val="21"/>
                <w:szCs w:val="21"/>
                <w:lang w:val="en-US" w:eastAsia="zh-CN"/>
              </w:rPr>
              <w:t>100%</w:t>
            </w:r>
          </w:p>
        </w:tc>
        <w:tc>
          <w:tcPr>
            <w:tcW w:w="5298" w:type="dxa"/>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大门安全检测及项目运转成本</w:t>
            </w:r>
          </w:p>
        </w:tc>
        <w:tc>
          <w:tcPr>
            <w:tcW w:w="213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反映大门安全检测及项目运转成本</w:t>
            </w:r>
          </w:p>
        </w:tc>
        <w:tc>
          <w:tcPr>
            <w:tcW w:w="126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≤22.31万元</w:t>
            </w:r>
          </w:p>
        </w:tc>
        <w:tc>
          <w:tcPr>
            <w:tcW w:w="5298" w:type="dxa"/>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2010" w:type="dxa"/>
            <w:vAlign w:val="center"/>
          </w:tcPr>
          <w:p>
            <w:pPr>
              <w:pStyle w:val="15"/>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璞然生态园规划编制成本</w:t>
            </w:r>
          </w:p>
        </w:tc>
        <w:tc>
          <w:tcPr>
            <w:tcW w:w="2130" w:type="dxa"/>
            <w:vAlign w:val="center"/>
          </w:tcPr>
          <w:p>
            <w:pPr>
              <w:pStyle w:val="15"/>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反映璞然生态园规划编制成本</w:t>
            </w:r>
          </w:p>
        </w:tc>
        <w:tc>
          <w:tcPr>
            <w:tcW w:w="1260" w:type="dxa"/>
            <w:vAlign w:val="center"/>
          </w:tcPr>
          <w:p>
            <w:pPr>
              <w:pStyle w:val="15"/>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≤15万元</w:t>
            </w:r>
          </w:p>
        </w:tc>
        <w:tc>
          <w:tcPr>
            <w:tcW w:w="5298" w:type="dxa"/>
            <w:vAlign w:val="center"/>
          </w:tcPr>
          <w:p>
            <w:pPr>
              <w:spacing w:line="300" w:lineRule="exact"/>
              <w:jc w:val="left"/>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保障日常办公需要，维持单位正常运转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反映保障日常办公需要，维持单位正常运转</w:t>
            </w:r>
          </w:p>
        </w:tc>
        <w:tc>
          <w:tcPr>
            <w:tcW w:w="12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显著提高</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园区办公人员满意度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调查中满意和较满意的办公人员占全部调查人数的比率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529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12.农业园区总体规划规划环评项目绩效目标表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通过编制农业园区总体规划的规划环评方案，优化调整环境，提升绿色农业发展水平。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4"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农业园区总体规划核心区环境影响面积</w:t>
            </w:r>
          </w:p>
        </w:tc>
        <w:tc>
          <w:tcPr>
            <w:tcW w:w="213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反映环评面积的数量指标</w:t>
            </w:r>
          </w:p>
        </w:tc>
        <w:tc>
          <w:tcPr>
            <w:tcW w:w="162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25平方公里</w:t>
            </w:r>
          </w:p>
        </w:tc>
        <w:tc>
          <w:tcPr>
            <w:tcW w:w="493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质量达标率</w:t>
            </w:r>
          </w:p>
        </w:tc>
        <w:tc>
          <w:tcPr>
            <w:tcW w:w="213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验收合格/总验收数</w:t>
            </w:r>
          </w:p>
        </w:tc>
        <w:tc>
          <w:tcPr>
            <w:tcW w:w="162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100%</w:t>
            </w:r>
          </w:p>
        </w:tc>
        <w:tc>
          <w:tcPr>
            <w:tcW w:w="493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项目完成及时率</w:t>
            </w:r>
          </w:p>
        </w:tc>
        <w:tc>
          <w:tcPr>
            <w:tcW w:w="213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反映项目完工时间情况</w:t>
            </w:r>
          </w:p>
        </w:tc>
        <w:tc>
          <w:tcPr>
            <w:tcW w:w="162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highlight w:val="none"/>
              </w:rPr>
              <w:t>≤100%</w:t>
            </w:r>
          </w:p>
        </w:tc>
        <w:tc>
          <w:tcPr>
            <w:tcW w:w="493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0"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平均成本</w:t>
            </w:r>
          </w:p>
        </w:tc>
        <w:tc>
          <w:tcPr>
            <w:tcW w:w="213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反映项目平均成本</w:t>
            </w:r>
          </w:p>
        </w:tc>
        <w:tc>
          <w:tcPr>
            <w:tcW w:w="162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≤7.36万元/平方公里</w:t>
            </w:r>
          </w:p>
        </w:tc>
        <w:tc>
          <w:tcPr>
            <w:tcW w:w="493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改善投资环境促进产业升级</w:t>
            </w:r>
          </w:p>
        </w:tc>
        <w:tc>
          <w:tcPr>
            <w:tcW w:w="213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反映项目实施产生的社会效益</w:t>
            </w:r>
          </w:p>
        </w:tc>
        <w:tc>
          <w:tcPr>
            <w:tcW w:w="162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显著提高</w:t>
            </w:r>
          </w:p>
        </w:tc>
        <w:tc>
          <w:tcPr>
            <w:tcW w:w="493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可持续影响指标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长效管理机制</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项目实施的可持续性</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健全</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pStyle w:val="15"/>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农业园区内企业满意度</w:t>
            </w:r>
          </w:p>
        </w:tc>
        <w:tc>
          <w:tcPr>
            <w:tcW w:w="2130" w:type="dxa"/>
            <w:vAlign w:val="center"/>
          </w:tcPr>
          <w:p>
            <w:pPr>
              <w:pStyle w:val="15"/>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反映项目收益对象满意度情况</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val="en-US" w:eastAsia="zh-CN"/>
              </w:rPr>
              <w:t>95%</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13.园区管委会办公区路面修补和给排水管道维修工程绩效目标表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通过编制农业园区总体规划的规划环评方案，优化调整环境，提升绿色农业发展水平。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4"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道路施工面积</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反映道路面积的数量指标</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2500平米</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4"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质量达标率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验收合格/总验收数</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4"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反映项目完工时间情况</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CellMar>
            <w:top w:w="0" w:type="dxa"/>
            <w:left w:w="108" w:type="dxa"/>
            <w:bottom w:w="0" w:type="dxa"/>
            <w:right w:w="108" w:type="dxa"/>
          </w:tblCellMar>
        </w:tblPrEx>
        <w:trPr>
          <w:cantSplit/>
          <w:trHeight w:val="111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平均成本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反映项目平均成本</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≤320元/平米</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CellMar>
            <w:top w:w="0" w:type="dxa"/>
            <w:left w:w="108" w:type="dxa"/>
            <w:bottom w:w="0" w:type="dxa"/>
            <w:right w:w="108" w:type="dxa"/>
          </w:tblCellMar>
        </w:tblPrEx>
        <w:trPr>
          <w:cantSplit/>
          <w:trHeight w:val="819"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改善投资环境促进产业升级</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反映项目实施产生的社会效益</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显著提高</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可持续影响指标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长效管理机制</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项目实施的可持续性</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健全 </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农业园区内企业满意度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反映项目收益对象满意度情况</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≥95%</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286</w:t>
      </w:r>
      <w:r>
        <w:rPr>
          <w:rFonts w:ascii="Times New Roman" w:hAnsi="Times New Roman" w:eastAsia="仿宋_GB2312" w:cs="Times New Roman"/>
          <w:sz w:val="32"/>
          <w:szCs w:val="24"/>
        </w:rPr>
        <w:t>万元。具体内容见下表。</w:t>
      </w:r>
      <w:bookmarkEnd w:id="1"/>
    </w:p>
    <w:p>
      <w:pPr>
        <w:jc w:val="center"/>
        <w:outlineLvl w:val="1"/>
        <w:rPr>
          <w:rFonts w:hint="eastAsia"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jc w:val="left"/>
        <w:outlineLvl w:val="1"/>
        <w:rPr>
          <w:rFonts w:ascii="方正小标宋_GBK" w:eastAsia="方正小标宋_GBK" w:cs="Times New Roman"/>
          <w:sz w:val="32"/>
        </w:rPr>
      </w:pPr>
      <w:r>
        <w:rPr>
          <w:rFonts w:hint="eastAsia"/>
          <w:lang w:val="en-US" w:eastAsia="zh-CN"/>
        </w:rPr>
        <w:t>河北三河国家农业科技园区管理委员会</w:t>
      </w:r>
      <w:r>
        <w:t xml:space="preserve">                                                                               </w:t>
      </w:r>
      <w:r>
        <w:rPr>
          <w:rFonts w:hint="eastAsia"/>
          <w:lang w:val="en-US" w:eastAsia="zh-CN"/>
        </w:rPr>
        <w:t>单位：万元</w:t>
      </w:r>
      <w:r>
        <w:t xml:space="preserve">                    </w:t>
      </w:r>
      <w:r>
        <w:rPr>
          <w:rFonts w:hint="eastAsia"/>
          <w:lang w:val="en-US" w:eastAsia="zh-CN"/>
        </w:rPr>
        <w:t xml:space="preserve">      </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7"/>
        <w:gridCol w:w="982"/>
        <w:gridCol w:w="1145"/>
        <w:gridCol w:w="887"/>
        <w:gridCol w:w="681"/>
        <w:gridCol w:w="656"/>
        <w:gridCol w:w="850"/>
        <w:gridCol w:w="964"/>
        <w:gridCol w:w="964"/>
        <w:gridCol w:w="964"/>
        <w:gridCol w:w="1111"/>
        <w:gridCol w:w="764"/>
        <w:gridCol w:w="859"/>
        <w:gridCol w:w="955"/>
        <w:gridCol w:w="1023"/>
        <w:gridCol w:w="1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19" w:type="dxa"/>
            <w:gridSpan w:val="2"/>
            <w:vAlign w:val="center"/>
          </w:tcPr>
          <w:p>
            <w:pPr>
              <w:pStyle w:val="13"/>
            </w:pPr>
            <w:r>
              <w:t>政府采购项目来源</w:t>
            </w:r>
          </w:p>
        </w:tc>
        <w:tc>
          <w:tcPr>
            <w:tcW w:w="1145" w:type="dxa"/>
            <w:vMerge w:val="restart"/>
            <w:vAlign w:val="center"/>
          </w:tcPr>
          <w:p>
            <w:pPr>
              <w:pStyle w:val="13"/>
            </w:pPr>
            <w:r>
              <w:t>采购物品名称</w:t>
            </w:r>
          </w:p>
        </w:tc>
        <w:tc>
          <w:tcPr>
            <w:tcW w:w="887" w:type="dxa"/>
            <w:vMerge w:val="restart"/>
            <w:vAlign w:val="center"/>
          </w:tcPr>
          <w:p>
            <w:pPr>
              <w:pStyle w:val="13"/>
            </w:pPr>
            <w:r>
              <w:t>政府采购目录序号</w:t>
            </w:r>
          </w:p>
        </w:tc>
        <w:tc>
          <w:tcPr>
            <w:tcW w:w="681" w:type="dxa"/>
            <w:vMerge w:val="restart"/>
            <w:vAlign w:val="center"/>
          </w:tcPr>
          <w:p>
            <w:pPr>
              <w:pStyle w:val="13"/>
            </w:pPr>
            <w:r>
              <w:t>计量  单位</w:t>
            </w:r>
          </w:p>
        </w:tc>
        <w:tc>
          <w:tcPr>
            <w:tcW w:w="656" w:type="dxa"/>
            <w:vMerge w:val="restart"/>
            <w:vAlign w:val="center"/>
          </w:tcPr>
          <w:p>
            <w:pPr>
              <w:pStyle w:val="13"/>
            </w:pPr>
            <w:r>
              <w:t>数量</w:t>
            </w:r>
          </w:p>
        </w:tc>
        <w:tc>
          <w:tcPr>
            <w:tcW w:w="850" w:type="dxa"/>
            <w:vMerge w:val="restart"/>
            <w:vAlign w:val="center"/>
          </w:tcPr>
          <w:p>
            <w:pPr>
              <w:pStyle w:val="13"/>
            </w:pPr>
            <w:r>
              <w:t>单价</w:t>
            </w:r>
          </w:p>
        </w:tc>
        <w:tc>
          <w:tcPr>
            <w:tcW w:w="7604" w:type="dxa"/>
            <w:gridSpan w:val="8"/>
            <w:vAlign w:val="center"/>
          </w:tcPr>
          <w:p>
            <w:pPr>
              <w:pStyle w:val="13"/>
            </w:pPr>
            <w:r>
              <w:t>政府采购金额（当年</w:t>
            </w:r>
            <w:r>
              <w:rPr>
                <w:rFonts w:hint="eastAsia"/>
                <w:lang w:eastAsia="zh-CN"/>
              </w:rPr>
              <w:t>单位</w:t>
            </w:r>
            <w:r>
              <w:t>预算安排资金）</w:t>
            </w:r>
          </w:p>
        </w:tc>
        <w:tc>
          <w:tcPr>
            <w:tcW w:w="1072"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68" w:hRule="atLeast"/>
          <w:tblHeader/>
          <w:jc w:val="center"/>
        </w:trPr>
        <w:tc>
          <w:tcPr>
            <w:tcW w:w="1537" w:type="dxa"/>
            <w:vAlign w:val="center"/>
          </w:tcPr>
          <w:p>
            <w:pPr>
              <w:pStyle w:val="13"/>
            </w:pPr>
            <w:r>
              <w:t>项目名称</w:t>
            </w:r>
          </w:p>
        </w:tc>
        <w:tc>
          <w:tcPr>
            <w:tcW w:w="982" w:type="dxa"/>
            <w:vAlign w:val="center"/>
          </w:tcPr>
          <w:p>
            <w:pPr>
              <w:pStyle w:val="13"/>
            </w:pPr>
            <w:r>
              <w:t>预算    资金</w:t>
            </w:r>
          </w:p>
        </w:tc>
        <w:tc>
          <w:tcPr>
            <w:tcW w:w="1145" w:type="dxa"/>
            <w:vMerge w:val="continue"/>
            <w:vAlign w:val="top"/>
          </w:tcPr>
          <w:p/>
        </w:tc>
        <w:tc>
          <w:tcPr>
            <w:tcW w:w="887" w:type="dxa"/>
            <w:vMerge w:val="continue"/>
            <w:vAlign w:val="top"/>
          </w:tcPr>
          <w:p/>
        </w:tc>
        <w:tc>
          <w:tcPr>
            <w:tcW w:w="681" w:type="dxa"/>
            <w:vMerge w:val="continue"/>
            <w:vAlign w:val="top"/>
          </w:tcPr>
          <w:p/>
        </w:tc>
        <w:tc>
          <w:tcPr>
            <w:tcW w:w="656" w:type="dxa"/>
            <w:vMerge w:val="continue"/>
            <w:vAlign w:val="top"/>
          </w:tcPr>
          <w:p/>
        </w:tc>
        <w:tc>
          <w:tcPr>
            <w:tcW w:w="850" w:type="dxa"/>
            <w:vMerge w:val="continue"/>
            <w:vAlign w:val="top"/>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1111" w:type="dxa"/>
            <w:vAlign w:val="center"/>
          </w:tcPr>
          <w:p>
            <w:pPr>
              <w:pStyle w:val="13"/>
            </w:pPr>
            <w:r>
              <w:t>国有资本经营预算拨款</w:t>
            </w:r>
          </w:p>
        </w:tc>
        <w:tc>
          <w:tcPr>
            <w:tcW w:w="764" w:type="dxa"/>
            <w:vAlign w:val="center"/>
          </w:tcPr>
          <w:p>
            <w:pPr>
              <w:pStyle w:val="13"/>
            </w:pPr>
            <w:r>
              <w:t>财政专户核拨</w:t>
            </w:r>
          </w:p>
        </w:tc>
        <w:tc>
          <w:tcPr>
            <w:tcW w:w="859" w:type="dxa"/>
            <w:vAlign w:val="center"/>
          </w:tcPr>
          <w:p>
            <w:pPr>
              <w:pStyle w:val="13"/>
            </w:pPr>
            <w:r>
              <w:t>单位    资金</w:t>
            </w:r>
          </w:p>
        </w:tc>
        <w:tc>
          <w:tcPr>
            <w:tcW w:w="955" w:type="dxa"/>
            <w:vAlign w:val="center"/>
          </w:tcPr>
          <w:p>
            <w:pPr>
              <w:pStyle w:val="13"/>
            </w:pPr>
            <w:r>
              <w:t>财政拨    款结转</w:t>
            </w:r>
          </w:p>
        </w:tc>
        <w:tc>
          <w:tcPr>
            <w:tcW w:w="1023" w:type="dxa"/>
            <w:vAlign w:val="center"/>
          </w:tcPr>
          <w:p>
            <w:pPr>
              <w:pStyle w:val="13"/>
            </w:pPr>
            <w:r>
              <w:t>非财政    拨款结    转结余</w:t>
            </w:r>
          </w:p>
        </w:tc>
        <w:tc>
          <w:tcPr>
            <w:tcW w:w="1072"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9" w:hRule="atLeast"/>
          <w:jc w:val="center"/>
        </w:trPr>
        <w:tc>
          <w:tcPr>
            <w:tcW w:w="1537" w:type="dxa"/>
            <w:vAlign w:val="center"/>
          </w:tcPr>
          <w:p>
            <w:pPr>
              <w:pStyle w:val="17"/>
            </w:pPr>
            <w:r>
              <w:t>合  计</w:t>
            </w:r>
          </w:p>
        </w:tc>
        <w:tc>
          <w:tcPr>
            <w:tcW w:w="982" w:type="dxa"/>
            <w:vAlign w:val="center"/>
          </w:tcPr>
          <w:p>
            <w:pPr>
              <w:pStyle w:val="18"/>
              <w:jc w:val="center"/>
              <w:rPr>
                <w:rFonts w:hint="default" w:eastAsia="方正书宋_GBK"/>
                <w:lang w:val="en-US" w:eastAsia="zh-CN"/>
              </w:rPr>
            </w:pPr>
            <w:r>
              <w:rPr>
                <w:rFonts w:hint="eastAsia"/>
                <w:lang w:val="en-US" w:eastAsia="zh-CN"/>
              </w:rPr>
              <w:t>333.75</w:t>
            </w:r>
          </w:p>
        </w:tc>
        <w:tc>
          <w:tcPr>
            <w:tcW w:w="1145" w:type="dxa"/>
            <w:vAlign w:val="center"/>
          </w:tcPr>
          <w:p>
            <w:pPr>
              <w:pStyle w:val="19"/>
              <w:jc w:val="center"/>
            </w:pPr>
          </w:p>
        </w:tc>
        <w:tc>
          <w:tcPr>
            <w:tcW w:w="887" w:type="dxa"/>
            <w:vAlign w:val="center"/>
          </w:tcPr>
          <w:p>
            <w:pPr>
              <w:pStyle w:val="19"/>
              <w:jc w:val="center"/>
            </w:pPr>
          </w:p>
        </w:tc>
        <w:tc>
          <w:tcPr>
            <w:tcW w:w="681" w:type="dxa"/>
            <w:vAlign w:val="center"/>
          </w:tcPr>
          <w:p>
            <w:pPr>
              <w:pStyle w:val="17"/>
              <w:jc w:val="center"/>
            </w:pPr>
          </w:p>
        </w:tc>
        <w:tc>
          <w:tcPr>
            <w:tcW w:w="656" w:type="dxa"/>
            <w:vAlign w:val="center"/>
          </w:tcPr>
          <w:p>
            <w:pPr>
              <w:pStyle w:val="18"/>
              <w:jc w:val="center"/>
            </w:pPr>
          </w:p>
        </w:tc>
        <w:tc>
          <w:tcPr>
            <w:tcW w:w="850" w:type="dxa"/>
            <w:vAlign w:val="center"/>
          </w:tcPr>
          <w:p>
            <w:pPr>
              <w:pStyle w:val="18"/>
              <w:jc w:val="center"/>
              <w:rPr>
                <w:rFonts w:hint="default"/>
                <w:lang w:val="en-US"/>
              </w:rPr>
            </w:pPr>
            <w:r>
              <w:rPr>
                <w:rFonts w:hint="eastAsia"/>
                <w:lang w:val="en-US" w:eastAsia="zh-CN"/>
              </w:rPr>
              <w:t>286</w:t>
            </w:r>
          </w:p>
        </w:tc>
        <w:tc>
          <w:tcPr>
            <w:tcW w:w="964" w:type="dxa"/>
            <w:vAlign w:val="center"/>
          </w:tcPr>
          <w:p>
            <w:pPr>
              <w:pStyle w:val="18"/>
              <w:jc w:val="center"/>
              <w:rPr>
                <w:rFonts w:hint="default"/>
                <w:lang w:val="en-US"/>
              </w:rPr>
            </w:pPr>
            <w:r>
              <w:rPr>
                <w:rFonts w:hint="eastAsia"/>
                <w:lang w:val="en-US" w:eastAsia="zh-CN"/>
              </w:rPr>
              <w:t>286</w:t>
            </w:r>
          </w:p>
        </w:tc>
        <w:tc>
          <w:tcPr>
            <w:tcW w:w="964" w:type="dxa"/>
            <w:vAlign w:val="center"/>
          </w:tcPr>
          <w:p>
            <w:pPr>
              <w:pStyle w:val="18"/>
              <w:jc w:val="center"/>
              <w:rPr>
                <w:rFonts w:hint="default" w:eastAsia="方正书宋_GBK"/>
                <w:lang w:val="en-US" w:eastAsia="zh-CN"/>
              </w:rPr>
            </w:pPr>
            <w:r>
              <w:rPr>
                <w:rFonts w:hint="eastAsia"/>
                <w:lang w:val="en-US" w:eastAsia="zh-CN"/>
              </w:rPr>
              <w:t>206</w:t>
            </w:r>
          </w:p>
        </w:tc>
        <w:tc>
          <w:tcPr>
            <w:tcW w:w="964" w:type="dxa"/>
            <w:vAlign w:val="center"/>
          </w:tcPr>
          <w:p>
            <w:pPr>
              <w:pStyle w:val="18"/>
              <w:jc w:val="center"/>
              <w:rPr>
                <w:rFonts w:hint="default" w:eastAsia="方正书宋_GBK"/>
                <w:lang w:val="en-US" w:eastAsia="zh-CN"/>
              </w:rPr>
            </w:pPr>
            <w:r>
              <w:rPr>
                <w:rFonts w:hint="eastAsia"/>
                <w:lang w:val="en-US" w:eastAsia="zh-CN"/>
              </w:rPr>
              <w:t>80</w:t>
            </w:r>
          </w:p>
        </w:tc>
        <w:tc>
          <w:tcPr>
            <w:tcW w:w="1111" w:type="dxa"/>
            <w:vAlign w:val="center"/>
          </w:tcPr>
          <w:p>
            <w:pPr>
              <w:pStyle w:val="18"/>
              <w:jc w:val="center"/>
            </w:pPr>
          </w:p>
        </w:tc>
        <w:tc>
          <w:tcPr>
            <w:tcW w:w="764" w:type="dxa"/>
            <w:vAlign w:val="center"/>
          </w:tcPr>
          <w:p>
            <w:pPr>
              <w:pStyle w:val="18"/>
              <w:jc w:val="center"/>
            </w:pPr>
          </w:p>
        </w:tc>
        <w:tc>
          <w:tcPr>
            <w:tcW w:w="859" w:type="dxa"/>
            <w:vAlign w:val="center"/>
          </w:tcPr>
          <w:p>
            <w:pPr>
              <w:pStyle w:val="18"/>
              <w:jc w:val="center"/>
            </w:pPr>
          </w:p>
        </w:tc>
        <w:tc>
          <w:tcPr>
            <w:tcW w:w="955" w:type="dxa"/>
            <w:vAlign w:val="center"/>
          </w:tcPr>
          <w:p>
            <w:pPr>
              <w:pStyle w:val="18"/>
              <w:jc w:val="center"/>
            </w:pPr>
          </w:p>
        </w:tc>
        <w:tc>
          <w:tcPr>
            <w:tcW w:w="1023" w:type="dxa"/>
            <w:vAlign w:val="center"/>
          </w:tcPr>
          <w:p>
            <w:pPr>
              <w:pStyle w:val="18"/>
              <w:jc w:val="center"/>
            </w:pPr>
          </w:p>
        </w:tc>
        <w:tc>
          <w:tcPr>
            <w:tcW w:w="1072" w:type="dxa"/>
            <w:vAlign w:val="center"/>
          </w:tcPr>
          <w:p>
            <w:pPr>
              <w:pStyle w:val="18"/>
              <w:jc w:val="center"/>
              <w:rPr>
                <w:rFonts w:hint="default" w:eastAsia="方正书宋_GBK"/>
                <w:lang w:val="en-US" w:eastAsia="zh-CN"/>
              </w:rPr>
            </w:pPr>
            <w:r>
              <w:rPr>
                <w:rFonts w:hint="eastAsia"/>
                <w:lang w:val="en-US" w:eastAsia="zh-CN"/>
              </w:rP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37" w:type="dxa"/>
            <w:vAlign w:val="center"/>
          </w:tcPr>
          <w:p>
            <w:pPr>
              <w:pStyle w:val="15"/>
              <w:jc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rPr>
              <w:t>园区绿化及设施维护年度保障经费</w:t>
            </w:r>
          </w:p>
        </w:tc>
        <w:tc>
          <w:tcPr>
            <w:tcW w:w="98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69.75</w:t>
            </w:r>
          </w:p>
        </w:tc>
        <w:tc>
          <w:tcPr>
            <w:tcW w:w="1145" w:type="dxa"/>
            <w:vAlign w:val="center"/>
          </w:tcPr>
          <w:p>
            <w:pPr>
              <w:pStyle w:val="15"/>
              <w:jc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rPr>
              <w:t>园林绿化管理服务</w:t>
            </w:r>
          </w:p>
        </w:tc>
        <w:tc>
          <w:tcPr>
            <w:tcW w:w="887" w:type="dxa"/>
            <w:vAlign w:val="center"/>
          </w:tcPr>
          <w:p>
            <w:pPr>
              <w:pStyle w:val="15"/>
              <w:jc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rPr>
              <w:t>C13030000</w:t>
            </w:r>
          </w:p>
        </w:tc>
        <w:tc>
          <w:tcPr>
            <w:tcW w:w="681" w:type="dxa"/>
            <w:vAlign w:val="center"/>
          </w:tcPr>
          <w:p>
            <w:pPr>
              <w:pStyle w:val="16"/>
              <w:jc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rPr>
              <w:t>年</w:t>
            </w:r>
          </w:p>
        </w:tc>
        <w:tc>
          <w:tcPr>
            <w:tcW w:w="656" w:type="dxa"/>
            <w:vAlign w:val="center"/>
          </w:tcPr>
          <w:p>
            <w:pPr>
              <w:pStyle w:val="14"/>
              <w:jc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rPr>
              <w:t>1</w:t>
            </w:r>
          </w:p>
        </w:tc>
        <w:tc>
          <w:tcPr>
            <w:tcW w:w="850"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22.00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22.00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22.00</w:t>
            </w:r>
          </w:p>
        </w:tc>
        <w:tc>
          <w:tcPr>
            <w:tcW w:w="964" w:type="dxa"/>
            <w:vAlign w:val="center"/>
          </w:tcPr>
          <w:p>
            <w:pPr>
              <w:pStyle w:val="14"/>
              <w:jc w:val="center"/>
              <w:rPr>
                <w:rFonts w:hint="eastAsia" w:ascii="仿宋_GB2312" w:hAnsi="仿宋_GB2312" w:eastAsia="仿宋_GB2312" w:cs="仿宋_GB2312"/>
                <w:b w:val="0"/>
                <w:bCs w:val="0"/>
                <w:sz w:val="21"/>
                <w:szCs w:val="21"/>
              </w:rPr>
            </w:pPr>
          </w:p>
        </w:tc>
        <w:tc>
          <w:tcPr>
            <w:tcW w:w="1111" w:type="dxa"/>
            <w:vAlign w:val="center"/>
          </w:tcPr>
          <w:p>
            <w:pPr>
              <w:pStyle w:val="14"/>
              <w:jc w:val="center"/>
              <w:rPr>
                <w:rFonts w:hint="eastAsia" w:ascii="仿宋_GB2312" w:hAnsi="仿宋_GB2312" w:eastAsia="仿宋_GB2312" w:cs="仿宋_GB2312"/>
                <w:b w:val="0"/>
                <w:bCs w:val="0"/>
                <w:sz w:val="21"/>
                <w:szCs w:val="21"/>
              </w:rPr>
            </w:pPr>
          </w:p>
        </w:tc>
        <w:tc>
          <w:tcPr>
            <w:tcW w:w="764" w:type="dxa"/>
            <w:vAlign w:val="center"/>
          </w:tcPr>
          <w:p>
            <w:pPr>
              <w:pStyle w:val="14"/>
              <w:jc w:val="center"/>
              <w:rPr>
                <w:rFonts w:hint="eastAsia" w:ascii="仿宋_GB2312" w:hAnsi="仿宋_GB2312" w:eastAsia="仿宋_GB2312" w:cs="仿宋_GB2312"/>
                <w:b w:val="0"/>
                <w:bCs w:val="0"/>
                <w:sz w:val="21"/>
                <w:szCs w:val="21"/>
              </w:rPr>
            </w:pPr>
          </w:p>
        </w:tc>
        <w:tc>
          <w:tcPr>
            <w:tcW w:w="859" w:type="dxa"/>
            <w:vAlign w:val="center"/>
          </w:tcPr>
          <w:p>
            <w:pPr>
              <w:pStyle w:val="14"/>
              <w:jc w:val="center"/>
              <w:rPr>
                <w:rFonts w:hint="eastAsia" w:ascii="仿宋_GB2312" w:hAnsi="仿宋_GB2312" w:eastAsia="仿宋_GB2312" w:cs="仿宋_GB2312"/>
                <w:b w:val="0"/>
                <w:bCs w:val="0"/>
                <w:sz w:val="21"/>
                <w:szCs w:val="21"/>
              </w:rPr>
            </w:pPr>
          </w:p>
        </w:tc>
        <w:tc>
          <w:tcPr>
            <w:tcW w:w="955" w:type="dxa"/>
            <w:vAlign w:val="center"/>
          </w:tcPr>
          <w:p>
            <w:pPr>
              <w:pStyle w:val="14"/>
              <w:jc w:val="center"/>
              <w:rPr>
                <w:rFonts w:hint="eastAsia" w:ascii="仿宋_GB2312" w:hAnsi="仿宋_GB2312" w:eastAsia="仿宋_GB2312" w:cs="仿宋_GB2312"/>
                <w:b w:val="0"/>
                <w:bCs w:val="0"/>
                <w:sz w:val="21"/>
                <w:szCs w:val="21"/>
              </w:rPr>
            </w:pPr>
          </w:p>
        </w:tc>
        <w:tc>
          <w:tcPr>
            <w:tcW w:w="1023" w:type="dxa"/>
            <w:vAlign w:val="center"/>
          </w:tcPr>
          <w:p>
            <w:pPr>
              <w:pStyle w:val="14"/>
              <w:jc w:val="center"/>
              <w:rPr>
                <w:rFonts w:hint="eastAsia" w:ascii="仿宋_GB2312" w:hAnsi="仿宋_GB2312" w:eastAsia="仿宋_GB2312" w:cs="仿宋_GB2312"/>
                <w:b w:val="0"/>
                <w:bCs w:val="0"/>
                <w:sz w:val="21"/>
                <w:szCs w:val="21"/>
              </w:rPr>
            </w:pPr>
          </w:p>
        </w:tc>
        <w:tc>
          <w:tcPr>
            <w:tcW w:w="107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37" w:type="dxa"/>
            <w:vAlign w:val="center"/>
          </w:tcPr>
          <w:p>
            <w:pPr>
              <w:pStyle w:val="15"/>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农业园区总体规划规划环评项目</w:t>
            </w:r>
          </w:p>
        </w:tc>
        <w:tc>
          <w:tcPr>
            <w:tcW w:w="98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184.00</w:t>
            </w:r>
          </w:p>
        </w:tc>
        <w:tc>
          <w:tcPr>
            <w:tcW w:w="1145" w:type="dxa"/>
            <w:vAlign w:val="center"/>
          </w:tcPr>
          <w:p>
            <w:pPr>
              <w:pStyle w:val="15"/>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其他生态环境治理服务</w:t>
            </w:r>
          </w:p>
        </w:tc>
        <w:tc>
          <w:tcPr>
            <w:tcW w:w="887" w:type="dxa"/>
            <w:vAlign w:val="center"/>
          </w:tcPr>
          <w:p>
            <w:pPr>
              <w:pStyle w:val="15"/>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C07029900</w:t>
            </w:r>
          </w:p>
        </w:tc>
        <w:tc>
          <w:tcPr>
            <w:tcW w:w="681" w:type="dxa"/>
            <w:vAlign w:val="center"/>
          </w:tcPr>
          <w:p>
            <w:pPr>
              <w:pStyle w:val="16"/>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项</w:t>
            </w:r>
          </w:p>
        </w:tc>
        <w:tc>
          <w:tcPr>
            <w:tcW w:w="656"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w:t>
            </w:r>
          </w:p>
        </w:tc>
        <w:tc>
          <w:tcPr>
            <w:tcW w:w="850"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184.00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184.00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184.00</w:t>
            </w:r>
          </w:p>
        </w:tc>
        <w:tc>
          <w:tcPr>
            <w:tcW w:w="964" w:type="dxa"/>
            <w:vAlign w:val="center"/>
          </w:tcPr>
          <w:p>
            <w:pPr>
              <w:pStyle w:val="14"/>
              <w:jc w:val="center"/>
              <w:rPr>
                <w:rFonts w:hint="eastAsia" w:ascii="仿宋_GB2312" w:hAnsi="仿宋_GB2312" w:eastAsia="仿宋_GB2312" w:cs="仿宋_GB2312"/>
                <w:b w:val="0"/>
                <w:bCs w:val="0"/>
                <w:sz w:val="21"/>
                <w:szCs w:val="21"/>
              </w:rPr>
            </w:pPr>
          </w:p>
        </w:tc>
        <w:tc>
          <w:tcPr>
            <w:tcW w:w="1111" w:type="dxa"/>
            <w:vAlign w:val="center"/>
          </w:tcPr>
          <w:p>
            <w:pPr>
              <w:pStyle w:val="14"/>
              <w:jc w:val="center"/>
              <w:rPr>
                <w:rFonts w:hint="eastAsia" w:ascii="仿宋_GB2312" w:hAnsi="仿宋_GB2312" w:eastAsia="仿宋_GB2312" w:cs="仿宋_GB2312"/>
                <w:b w:val="0"/>
                <w:bCs w:val="0"/>
                <w:sz w:val="21"/>
                <w:szCs w:val="21"/>
              </w:rPr>
            </w:pPr>
          </w:p>
        </w:tc>
        <w:tc>
          <w:tcPr>
            <w:tcW w:w="764" w:type="dxa"/>
            <w:vAlign w:val="center"/>
          </w:tcPr>
          <w:p>
            <w:pPr>
              <w:pStyle w:val="14"/>
              <w:jc w:val="center"/>
              <w:rPr>
                <w:rFonts w:hint="eastAsia" w:ascii="仿宋_GB2312" w:hAnsi="仿宋_GB2312" w:eastAsia="仿宋_GB2312" w:cs="仿宋_GB2312"/>
                <w:b w:val="0"/>
                <w:bCs w:val="0"/>
                <w:sz w:val="21"/>
                <w:szCs w:val="21"/>
              </w:rPr>
            </w:pPr>
          </w:p>
        </w:tc>
        <w:tc>
          <w:tcPr>
            <w:tcW w:w="859" w:type="dxa"/>
            <w:vAlign w:val="center"/>
          </w:tcPr>
          <w:p>
            <w:pPr>
              <w:pStyle w:val="14"/>
              <w:jc w:val="center"/>
              <w:rPr>
                <w:rFonts w:hint="eastAsia" w:ascii="仿宋_GB2312" w:hAnsi="仿宋_GB2312" w:eastAsia="仿宋_GB2312" w:cs="仿宋_GB2312"/>
                <w:b w:val="0"/>
                <w:bCs w:val="0"/>
                <w:sz w:val="21"/>
                <w:szCs w:val="21"/>
              </w:rPr>
            </w:pPr>
          </w:p>
        </w:tc>
        <w:tc>
          <w:tcPr>
            <w:tcW w:w="955" w:type="dxa"/>
            <w:vAlign w:val="center"/>
          </w:tcPr>
          <w:p>
            <w:pPr>
              <w:pStyle w:val="14"/>
              <w:jc w:val="center"/>
              <w:rPr>
                <w:rFonts w:hint="eastAsia" w:ascii="仿宋_GB2312" w:hAnsi="仿宋_GB2312" w:eastAsia="仿宋_GB2312" w:cs="仿宋_GB2312"/>
                <w:b w:val="0"/>
                <w:bCs w:val="0"/>
                <w:sz w:val="21"/>
                <w:szCs w:val="21"/>
              </w:rPr>
            </w:pPr>
          </w:p>
        </w:tc>
        <w:tc>
          <w:tcPr>
            <w:tcW w:w="1023" w:type="dxa"/>
            <w:vAlign w:val="center"/>
          </w:tcPr>
          <w:p>
            <w:pPr>
              <w:pStyle w:val="14"/>
              <w:jc w:val="center"/>
              <w:rPr>
                <w:rFonts w:hint="eastAsia" w:ascii="仿宋_GB2312" w:hAnsi="仿宋_GB2312" w:eastAsia="仿宋_GB2312" w:cs="仿宋_GB2312"/>
                <w:b w:val="0"/>
                <w:bCs w:val="0"/>
                <w:sz w:val="21"/>
                <w:szCs w:val="21"/>
              </w:rPr>
            </w:pPr>
          </w:p>
        </w:tc>
        <w:tc>
          <w:tcPr>
            <w:tcW w:w="107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37" w:type="dxa"/>
            <w:vAlign w:val="center"/>
          </w:tcPr>
          <w:p>
            <w:pPr>
              <w:pStyle w:val="15"/>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园区管委会办公区路面修补和给排水管道维修工程</w:t>
            </w:r>
          </w:p>
        </w:tc>
        <w:tc>
          <w:tcPr>
            <w:tcW w:w="98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80.00</w:t>
            </w:r>
          </w:p>
        </w:tc>
        <w:tc>
          <w:tcPr>
            <w:tcW w:w="1145" w:type="dxa"/>
            <w:vAlign w:val="center"/>
          </w:tcPr>
          <w:p>
            <w:pPr>
              <w:pStyle w:val="15"/>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其他建筑物、构筑物修缮</w:t>
            </w:r>
          </w:p>
        </w:tc>
        <w:tc>
          <w:tcPr>
            <w:tcW w:w="887" w:type="dxa"/>
            <w:vAlign w:val="center"/>
          </w:tcPr>
          <w:p>
            <w:pPr>
              <w:pStyle w:val="15"/>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B08990000</w:t>
            </w:r>
          </w:p>
        </w:tc>
        <w:tc>
          <w:tcPr>
            <w:tcW w:w="681" w:type="dxa"/>
            <w:vAlign w:val="center"/>
          </w:tcPr>
          <w:p>
            <w:pPr>
              <w:pStyle w:val="16"/>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项</w:t>
            </w:r>
          </w:p>
        </w:tc>
        <w:tc>
          <w:tcPr>
            <w:tcW w:w="656" w:type="dxa"/>
            <w:vAlign w:val="center"/>
          </w:tcPr>
          <w:p>
            <w:pPr>
              <w:pStyle w:val="14"/>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1</w:t>
            </w:r>
          </w:p>
        </w:tc>
        <w:tc>
          <w:tcPr>
            <w:tcW w:w="850"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80.00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80.00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p>
        </w:tc>
        <w:tc>
          <w:tcPr>
            <w:tcW w:w="964" w:type="dxa"/>
            <w:vAlign w:val="center"/>
          </w:tcPr>
          <w:p>
            <w:pPr>
              <w:pStyle w:val="14"/>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80.00</w:t>
            </w:r>
          </w:p>
        </w:tc>
        <w:tc>
          <w:tcPr>
            <w:tcW w:w="1111" w:type="dxa"/>
            <w:vAlign w:val="center"/>
          </w:tcPr>
          <w:p>
            <w:pPr>
              <w:pStyle w:val="14"/>
              <w:jc w:val="center"/>
              <w:rPr>
                <w:rFonts w:hint="eastAsia" w:ascii="仿宋_GB2312" w:hAnsi="仿宋_GB2312" w:eastAsia="仿宋_GB2312" w:cs="仿宋_GB2312"/>
                <w:b w:val="0"/>
                <w:bCs w:val="0"/>
                <w:sz w:val="21"/>
                <w:szCs w:val="21"/>
              </w:rPr>
            </w:pPr>
          </w:p>
        </w:tc>
        <w:tc>
          <w:tcPr>
            <w:tcW w:w="764" w:type="dxa"/>
            <w:vAlign w:val="center"/>
          </w:tcPr>
          <w:p>
            <w:pPr>
              <w:pStyle w:val="14"/>
              <w:jc w:val="center"/>
              <w:rPr>
                <w:rFonts w:hint="eastAsia" w:ascii="仿宋_GB2312" w:hAnsi="仿宋_GB2312" w:eastAsia="仿宋_GB2312" w:cs="仿宋_GB2312"/>
                <w:b w:val="0"/>
                <w:bCs w:val="0"/>
                <w:sz w:val="21"/>
                <w:szCs w:val="21"/>
              </w:rPr>
            </w:pPr>
          </w:p>
        </w:tc>
        <w:tc>
          <w:tcPr>
            <w:tcW w:w="859" w:type="dxa"/>
            <w:vAlign w:val="center"/>
          </w:tcPr>
          <w:p>
            <w:pPr>
              <w:pStyle w:val="14"/>
              <w:jc w:val="center"/>
              <w:rPr>
                <w:rFonts w:hint="eastAsia" w:ascii="仿宋_GB2312" w:hAnsi="仿宋_GB2312" w:eastAsia="仿宋_GB2312" w:cs="仿宋_GB2312"/>
                <w:b w:val="0"/>
                <w:bCs w:val="0"/>
                <w:sz w:val="21"/>
                <w:szCs w:val="21"/>
              </w:rPr>
            </w:pPr>
          </w:p>
        </w:tc>
        <w:tc>
          <w:tcPr>
            <w:tcW w:w="955" w:type="dxa"/>
            <w:vAlign w:val="center"/>
          </w:tcPr>
          <w:p>
            <w:pPr>
              <w:pStyle w:val="14"/>
              <w:jc w:val="center"/>
              <w:rPr>
                <w:rFonts w:hint="eastAsia" w:ascii="仿宋_GB2312" w:hAnsi="仿宋_GB2312" w:eastAsia="仿宋_GB2312" w:cs="仿宋_GB2312"/>
                <w:b w:val="0"/>
                <w:bCs w:val="0"/>
                <w:sz w:val="21"/>
                <w:szCs w:val="21"/>
              </w:rPr>
            </w:pPr>
          </w:p>
        </w:tc>
        <w:tc>
          <w:tcPr>
            <w:tcW w:w="1023" w:type="dxa"/>
            <w:vAlign w:val="center"/>
          </w:tcPr>
          <w:p>
            <w:pPr>
              <w:pStyle w:val="14"/>
              <w:jc w:val="center"/>
              <w:rPr>
                <w:rFonts w:hint="eastAsia" w:ascii="仿宋_GB2312" w:hAnsi="仿宋_GB2312" w:eastAsia="仿宋_GB2312" w:cs="仿宋_GB2312"/>
                <w:b w:val="0"/>
                <w:bCs w:val="0"/>
                <w:sz w:val="21"/>
                <w:szCs w:val="21"/>
              </w:rPr>
            </w:pPr>
          </w:p>
        </w:tc>
        <w:tc>
          <w:tcPr>
            <w:tcW w:w="107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80.00</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rPr>
          <w:rFonts w:ascii="Times New Roman" w:hAnsi="Times New Roman" w:eastAsia="黑体" w:cs="Times New Roman"/>
          <w:sz w:val="32"/>
          <w:szCs w:val="32"/>
        </w:rPr>
      </w:pPr>
    </w:p>
    <w:p>
      <w:pPr>
        <w:spacing w:line="500" w:lineRule="exact"/>
        <w:rPr>
          <w:rFonts w:ascii="Times New Roman" w:hAnsi="Times New Roman" w:eastAsia="黑体" w:cs="Times New Roman"/>
          <w:sz w:val="32"/>
          <w:szCs w:val="32"/>
        </w:rPr>
      </w:pPr>
    </w:p>
    <w:p>
      <w:pPr>
        <w:spacing w:line="500" w:lineRule="exact"/>
        <w:rPr>
          <w:rFonts w:ascii="Times New Roman" w:hAnsi="Times New Roman" w:eastAsia="黑体" w:cs="Times New Roman"/>
          <w:sz w:val="32"/>
          <w:szCs w:val="32"/>
        </w:rPr>
      </w:pPr>
    </w:p>
    <w:p>
      <w:pPr>
        <w:spacing w:line="500" w:lineRule="exac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pPr>
      <w:r>
        <w:rPr>
          <w:rFonts w:hint="eastAsia" w:ascii="Times New Roman" w:hAnsi="Times New Roman" w:eastAsia="仿宋_GB2312" w:cs="Times New Roman"/>
          <w:sz w:val="32"/>
          <w:szCs w:val="32"/>
          <w:lang w:eastAsia="zh-CN"/>
        </w:rPr>
        <w:t>河北三河国家农业科技园区管理委员会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4707.36</w:t>
      </w:r>
      <w:bookmarkStart w:id="3" w:name="_GoBack"/>
      <w:bookmarkEnd w:id="3"/>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拟购置固定资产主要为办公桌椅等，因未达到政府采购限额，不需要进行政府采购</w:t>
      </w:r>
      <w:r>
        <w:rPr>
          <w:rFonts w:ascii="Times New Roman" w:hAnsi="Times New Roman" w:eastAsia="仿宋_GB2312" w:cs="Times New Roman"/>
          <w:sz w:val="32"/>
          <w:szCs w:val="32"/>
        </w:rPr>
        <w:t>。</w:t>
      </w:r>
    </w:p>
    <w:tbl>
      <w:tblPr>
        <w:tblStyle w:val="8"/>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河北三河国家农业科技园区管理委员会</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4707.36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2810.97</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2800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4000.47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auto"/>
    <w:pitch w:val="default"/>
    <w:sig w:usb0="00000000" w:usb1="00000000" w:usb2="00000000" w:usb3="00000000" w:csb0="00040001" w:csb1="00000000"/>
  </w:font>
  <w:font w:name="方正仿宋_GBK">
    <w:altName w:val="Arial Unicode MS"/>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Y4NmY4MDM0YTM0YzkzZGQ4ZmQ2YWMzNjU0ZjVmNGYifQ=="/>
  </w:docVars>
  <w:rsids>
    <w:rsidRoot w:val="00000000"/>
    <w:rsid w:val="058D670A"/>
    <w:rsid w:val="06CC0CB5"/>
    <w:rsid w:val="08A90788"/>
    <w:rsid w:val="0B4765DB"/>
    <w:rsid w:val="0D57649A"/>
    <w:rsid w:val="0E2A3BC5"/>
    <w:rsid w:val="0F5741E6"/>
    <w:rsid w:val="145125C1"/>
    <w:rsid w:val="17984BEF"/>
    <w:rsid w:val="21135088"/>
    <w:rsid w:val="27D72EEA"/>
    <w:rsid w:val="2D777958"/>
    <w:rsid w:val="33DC0D12"/>
    <w:rsid w:val="34812F77"/>
    <w:rsid w:val="440D43B0"/>
    <w:rsid w:val="47D07235"/>
    <w:rsid w:val="4CB76943"/>
    <w:rsid w:val="4DE84AD8"/>
    <w:rsid w:val="50EE2402"/>
    <w:rsid w:val="526D214F"/>
    <w:rsid w:val="58AB5080"/>
    <w:rsid w:val="5C5F065B"/>
    <w:rsid w:val="5E777C5D"/>
    <w:rsid w:val="5E9204A8"/>
    <w:rsid w:val="60D03CE6"/>
    <w:rsid w:val="683117E3"/>
    <w:rsid w:val="6ED70525"/>
    <w:rsid w:val="742A2F8F"/>
    <w:rsid w:val="74511518"/>
    <w:rsid w:val="746B4843"/>
    <w:rsid w:val="75093403"/>
    <w:rsid w:val="78E47CFE"/>
    <w:rsid w:val="7EA366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9">
    <w:name w:val="Default Paragraph Font"/>
    <w:qFormat/>
    <w:uiPriority w:val="0"/>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autoRedefine/>
    <w:qFormat/>
    <w:uiPriority w:val="0"/>
    <w:rPr>
      <w:rFonts w:ascii="Times New Roman" w:hAnsi="Times New Roman" w:cs="Times New Roman"/>
      <w:szCs w:val="24"/>
    </w:rPr>
  </w:style>
  <w:style w:type="paragraph" w:styleId="6">
    <w:name w:val="footnote text"/>
    <w:basedOn w:val="1"/>
    <w:autoRedefine/>
    <w:qFormat/>
    <w:uiPriority w:val="0"/>
    <w:pPr>
      <w:snapToGrid w:val="0"/>
      <w:jc w:val="left"/>
    </w:pPr>
    <w:rPr>
      <w:rFonts w:cs="Times New Roman"/>
      <w:sz w:val="18"/>
      <w:szCs w:val="18"/>
    </w:rPr>
  </w:style>
  <w:style w:type="paragraph" w:styleId="7">
    <w:name w:val="toc 2"/>
    <w:basedOn w:val="1"/>
    <w:next w:val="1"/>
    <w:autoRedefine/>
    <w:qFormat/>
    <w:uiPriority w:val="0"/>
    <w:pPr>
      <w:ind w:left="200" w:leftChars="200"/>
    </w:pPr>
    <w:rPr>
      <w:rFonts w:ascii="Times New Roman" w:hAnsi="Times New Roman" w:cs="Times New Roman"/>
      <w:szCs w:val="24"/>
    </w:rPr>
  </w:style>
  <w:style w:type="character" w:styleId="10">
    <w:name w:val="footnote reference"/>
    <w:autoRedefine/>
    <w:qFormat/>
    <w:uiPriority w:val="0"/>
    <w:rPr>
      <w:vertAlign w:val="superscript"/>
    </w:rPr>
  </w:style>
  <w:style w:type="paragraph" w:customStyle="1" w:styleId="11">
    <w:name w:val="批注框文本 Char Char"/>
    <w:basedOn w:val="1"/>
    <w:autoRedefine/>
    <w:qFormat/>
    <w:uiPriority w:val="0"/>
    <w:rPr>
      <w:sz w:val="18"/>
      <w:szCs w:val="18"/>
    </w:rPr>
  </w:style>
  <w:style w:type="paragraph" w:customStyle="1" w:styleId="1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autoRedefine/>
    <w:qFormat/>
    <w:uiPriority w:val="0"/>
    <w:pPr>
      <w:widowControl/>
      <w:jc w:val="center"/>
    </w:pPr>
    <w:rPr>
      <w:rFonts w:ascii="方正书宋_GBK" w:hAnsi="方正书宋_GBK" w:eastAsia="方正书宋_GBK" w:cs="方正书宋_GBK"/>
      <w:b/>
      <w:kern w:val="0"/>
      <w:szCs w:val="24"/>
    </w:rPr>
  </w:style>
  <w:style w:type="paragraph" w:customStyle="1" w:styleId="14">
    <w:name w:val="单元格样式4"/>
    <w:basedOn w:val="1"/>
    <w:autoRedefine/>
    <w:qFormat/>
    <w:uiPriority w:val="0"/>
    <w:pPr>
      <w:widowControl/>
      <w:jc w:val="right"/>
    </w:pPr>
    <w:rPr>
      <w:rFonts w:ascii="方正书宋_GBK" w:hAnsi="方正书宋_GBK" w:eastAsia="方正书宋_GBK" w:cs="方正书宋_GBK"/>
      <w:kern w:val="0"/>
      <w:szCs w:val="24"/>
    </w:rPr>
  </w:style>
  <w:style w:type="paragraph" w:customStyle="1" w:styleId="15">
    <w:name w:val="单元格样式2"/>
    <w:basedOn w:val="1"/>
    <w:autoRedefine/>
    <w:qFormat/>
    <w:uiPriority w:val="0"/>
    <w:pPr>
      <w:widowControl/>
      <w:jc w:val="left"/>
    </w:pPr>
    <w:rPr>
      <w:rFonts w:ascii="方正书宋_GBK" w:hAnsi="方正书宋_GBK" w:eastAsia="方正书宋_GBK" w:cs="方正书宋_GBK"/>
      <w:kern w:val="0"/>
      <w:szCs w:val="24"/>
    </w:rPr>
  </w:style>
  <w:style w:type="paragraph" w:customStyle="1" w:styleId="16">
    <w:name w:val="单元格样式3"/>
    <w:basedOn w:val="1"/>
    <w:autoRedefine/>
    <w:qFormat/>
    <w:uiPriority w:val="0"/>
    <w:pPr>
      <w:widowControl/>
      <w:jc w:val="center"/>
    </w:pPr>
    <w:rPr>
      <w:rFonts w:ascii="方正书宋_GBK" w:hAnsi="方正书宋_GBK" w:eastAsia="方正书宋_GBK" w:cs="方正书宋_GBK"/>
      <w:kern w:val="0"/>
      <w:szCs w:val="24"/>
    </w:rPr>
  </w:style>
  <w:style w:type="paragraph" w:customStyle="1" w:styleId="17">
    <w:name w:val="单元格样式6"/>
    <w:basedOn w:val="1"/>
    <w:autoRedefine/>
    <w:qFormat/>
    <w:uiPriority w:val="0"/>
    <w:pPr>
      <w:widowControl/>
      <w:jc w:val="center"/>
    </w:pPr>
    <w:rPr>
      <w:rFonts w:ascii="方正书宋_GBK" w:hAnsi="方正书宋_GBK" w:eastAsia="方正书宋_GBK" w:cs="方正书宋_GBK"/>
      <w:b/>
      <w:kern w:val="0"/>
      <w:szCs w:val="24"/>
    </w:rPr>
  </w:style>
  <w:style w:type="paragraph" w:customStyle="1" w:styleId="18">
    <w:name w:val="单元格样式7"/>
    <w:basedOn w:val="1"/>
    <w:autoRedefine/>
    <w:qFormat/>
    <w:uiPriority w:val="0"/>
    <w:pPr>
      <w:widowControl/>
      <w:jc w:val="right"/>
    </w:pPr>
    <w:rPr>
      <w:rFonts w:ascii="方正书宋_GBK" w:hAnsi="方正书宋_GBK" w:eastAsia="方正书宋_GBK" w:cs="方正书宋_GBK"/>
      <w:b/>
      <w:kern w:val="0"/>
      <w:szCs w:val="24"/>
    </w:rPr>
  </w:style>
  <w:style w:type="paragraph" w:customStyle="1" w:styleId="19">
    <w:name w:val="单元格样式5"/>
    <w:basedOn w:val="1"/>
    <w:autoRedefine/>
    <w:qFormat/>
    <w:uiPriority w:val="0"/>
    <w:pPr>
      <w:widowControl/>
      <w:jc w:val="left"/>
    </w:pPr>
    <w:rPr>
      <w:rFonts w:ascii="方正书宋_GBK" w:hAnsi="方正书宋_GBK" w:eastAsia="方正书宋_GBK" w:cs="方正书宋_GBK"/>
      <w:b/>
      <w:kern w:val="0"/>
      <w:szCs w:val="24"/>
    </w:rPr>
  </w:style>
  <w:style w:type="character" w:customStyle="1" w:styleId="20">
    <w:name w:val="NormalCharacter"/>
    <w:autoRedefine/>
    <w:qFormat/>
    <w:uiPriority w:val="0"/>
  </w:style>
  <w:style w:type="paragraph" w:customStyle="1" w:styleId="2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11989</Words>
  <Characters>13040</Characters>
  <Lines>23</Lines>
  <Paragraphs>6</Paragraphs>
  <TotalTime>1</TotalTime>
  <ScaleCrop>false</ScaleCrop>
  <LinksUpToDate>false</LinksUpToDate>
  <CharactersWithSpaces>13204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2020-01-13T19:27:00Z</dcterms:created>
  <dc:creator>guest</dc:creator>
  <cp:lastModifiedBy>张继红</cp:lastModifiedBy>
  <cp:lastPrinted>2024-02-20T02:42:00Z</cp:lastPrinted>
  <dcterms:modified xsi:type="dcterms:W3CDTF">2024-02-20T07:05:50Z</dcterms:modified>
  <dc:title>len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4E44EDF0EF9F46F78136DEDCDFA20100</vt:lpwstr>
  </property>
</Properties>
</file>